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3F4BF" w14:textId="1D844F68" w:rsidR="00F91CFF" w:rsidRPr="00F91CFF" w:rsidRDefault="00F91CFF" w:rsidP="00180E9E">
      <w:pPr>
        <w:jc w:val="both"/>
        <w:rPr>
          <w:rFonts w:ascii="David" w:hAnsi="David" w:cs="David"/>
          <w:b/>
          <w:bCs/>
          <w:sz w:val="24"/>
          <w:szCs w:val="24"/>
          <w:u w:val="single"/>
          <w:rtl/>
        </w:rPr>
      </w:pPr>
      <w:r w:rsidRPr="00F91CFF">
        <w:rPr>
          <w:rFonts w:ascii="David" w:hAnsi="David" w:cs="David" w:hint="cs"/>
          <w:b/>
          <w:bCs/>
          <w:sz w:val="24"/>
          <w:szCs w:val="24"/>
          <w:u w:val="single"/>
          <w:rtl/>
        </w:rPr>
        <w:t xml:space="preserve">שאלה 1 </w:t>
      </w:r>
      <w:r w:rsidRPr="00F91CFF">
        <w:rPr>
          <w:rFonts w:ascii="David" w:hAnsi="David" w:cs="David"/>
          <w:b/>
          <w:bCs/>
          <w:sz w:val="24"/>
          <w:szCs w:val="24"/>
          <w:u w:val="single"/>
          <w:rtl/>
        </w:rPr>
        <w:t>–</w:t>
      </w:r>
      <w:r w:rsidRPr="00F91CFF">
        <w:rPr>
          <w:rFonts w:ascii="David" w:hAnsi="David" w:cs="David" w:hint="cs"/>
          <w:b/>
          <w:bCs/>
          <w:sz w:val="24"/>
          <w:szCs w:val="24"/>
          <w:u w:val="single"/>
          <w:rtl/>
        </w:rPr>
        <w:t xml:space="preserve"> מומלץ עד שלושה עמודים (50%)</w:t>
      </w:r>
    </w:p>
    <w:p w14:paraId="3F927F2A" w14:textId="7AD7F34B" w:rsidR="008377F5" w:rsidRDefault="00933101" w:rsidP="00180E9E">
      <w:pPr>
        <w:jc w:val="both"/>
        <w:rPr>
          <w:rFonts w:ascii="David" w:hAnsi="David" w:cs="David"/>
          <w:sz w:val="24"/>
          <w:szCs w:val="24"/>
          <w:rtl/>
        </w:rPr>
      </w:pPr>
      <w:r>
        <w:rPr>
          <w:rFonts w:ascii="David" w:hAnsi="David" w:cs="David" w:hint="cs"/>
          <w:sz w:val="24"/>
          <w:szCs w:val="24"/>
          <w:rtl/>
        </w:rPr>
        <w:t>השאלה עוסקת בדיווח מטעה בחברה ציבורית, ולכן יש לנתח לפי הנלמד בקורס על תביעה ייצוגית בניירות ערך.</w:t>
      </w:r>
    </w:p>
    <w:p w14:paraId="183F9979" w14:textId="77777777" w:rsidR="00933101" w:rsidRDefault="00933101" w:rsidP="00180E9E">
      <w:pPr>
        <w:jc w:val="both"/>
        <w:rPr>
          <w:rFonts w:ascii="David" w:hAnsi="David" w:cs="David"/>
          <w:sz w:val="24"/>
          <w:szCs w:val="24"/>
          <w:rtl/>
        </w:rPr>
      </w:pPr>
      <w:r>
        <w:rPr>
          <w:rFonts w:ascii="David" w:hAnsi="David" w:cs="David" w:hint="cs"/>
          <w:sz w:val="24"/>
          <w:szCs w:val="24"/>
          <w:rtl/>
        </w:rPr>
        <w:t>צריך להפריד בין שני אירועים, ושתי תקופות שנוגעות לרוני.</w:t>
      </w:r>
    </w:p>
    <w:p w14:paraId="499D7A42" w14:textId="11BD3A1E" w:rsidR="00933101" w:rsidRDefault="00933101" w:rsidP="00180E9E">
      <w:pPr>
        <w:jc w:val="both"/>
        <w:rPr>
          <w:rFonts w:ascii="David" w:hAnsi="David" w:cs="David"/>
          <w:sz w:val="24"/>
          <w:szCs w:val="24"/>
          <w:rtl/>
        </w:rPr>
      </w:pPr>
      <w:r w:rsidRPr="00933101">
        <w:rPr>
          <w:rFonts w:ascii="David" w:hAnsi="David" w:cs="David" w:hint="cs"/>
          <w:sz w:val="24"/>
          <w:szCs w:val="24"/>
          <w:u w:val="single"/>
          <w:rtl/>
        </w:rPr>
        <w:t>מבחינת אירועים</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אירוע אחד הוא הסטייה באומדנים; ואילו האירוע השני הוא שהחברה לא דיווחה באיזה פרויקטים נערכה הסטייה, דבר שיצר בהלה בשוק ההון וגרם למחיר של המניה לצנוח. </w:t>
      </w:r>
      <w:r w:rsidR="004C0F16">
        <w:rPr>
          <w:rFonts w:ascii="David" w:hAnsi="David" w:cs="David" w:hint="cs"/>
          <w:sz w:val="24"/>
          <w:szCs w:val="24"/>
          <w:rtl/>
        </w:rPr>
        <w:t xml:space="preserve">לאחר מכן הסתבר כי הסטייה היתה מצומצמת יותר (רק לחברת מישל), אבל היו פרסומים בעיתונות שקשה להאמין למנהלי החברה שזו היתה התקלה. </w:t>
      </w:r>
    </w:p>
    <w:p w14:paraId="079832DB" w14:textId="4FC01CDA" w:rsidR="00933101" w:rsidRDefault="00933101" w:rsidP="00727CD7">
      <w:pPr>
        <w:jc w:val="both"/>
        <w:rPr>
          <w:rFonts w:ascii="David" w:hAnsi="David" w:cs="David"/>
          <w:sz w:val="24"/>
          <w:szCs w:val="24"/>
          <w:rtl/>
        </w:rPr>
      </w:pPr>
      <w:r w:rsidRPr="00933101">
        <w:rPr>
          <w:rFonts w:ascii="David" w:hAnsi="David" w:cs="David" w:hint="cs"/>
          <w:sz w:val="24"/>
          <w:szCs w:val="24"/>
          <w:u w:val="single"/>
          <w:rtl/>
        </w:rPr>
        <w:t>מבחינת רוני</w:t>
      </w:r>
      <w:r>
        <w:rPr>
          <w:rFonts w:ascii="David" w:hAnsi="David" w:cs="David" w:hint="cs"/>
          <w:sz w:val="24"/>
          <w:szCs w:val="24"/>
          <w:rtl/>
        </w:rPr>
        <w:t xml:space="preserve"> - כאשר מנתחים את האפשרויות של התביעה שעומדות בפני רוני, יש להבחין בין </w:t>
      </w:r>
      <w:r w:rsidR="004C0F16">
        <w:rPr>
          <w:rFonts w:ascii="David" w:hAnsi="David" w:cs="David" w:hint="cs"/>
          <w:sz w:val="24"/>
          <w:szCs w:val="24"/>
          <w:rtl/>
        </w:rPr>
        <w:t>המקרים השונים</w:t>
      </w:r>
      <w:r>
        <w:rPr>
          <w:rFonts w:ascii="David" w:hAnsi="David" w:cs="David" w:hint="cs"/>
          <w:sz w:val="24"/>
          <w:szCs w:val="24"/>
          <w:rtl/>
        </w:rPr>
        <w:t>. בהקשר זה עולות השאלות הבאות</w:t>
      </w:r>
      <w:r w:rsidR="00727CD7">
        <w:rPr>
          <w:rFonts w:ascii="David" w:hAnsi="David" w:cs="David" w:hint="cs"/>
          <w:sz w:val="24"/>
          <w:szCs w:val="24"/>
          <w:rtl/>
        </w:rPr>
        <w:t xml:space="preserve"> (לא נדרש את כולן כדי לענות נכון)</w:t>
      </w:r>
      <w:r>
        <w:rPr>
          <w:rFonts w:ascii="David" w:hAnsi="David" w:cs="David" w:hint="cs"/>
          <w:sz w:val="24"/>
          <w:szCs w:val="24"/>
          <w:rtl/>
        </w:rPr>
        <w:t>:</w:t>
      </w:r>
    </w:p>
    <w:p w14:paraId="6B217E49" w14:textId="068FE7F1" w:rsidR="00933101" w:rsidRPr="006F383A" w:rsidRDefault="006F383A" w:rsidP="009A1B83">
      <w:pPr>
        <w:pStyle w:val="ListParagraph"/>
        <w:numPr>
          <w:ilvl w:val="0"/>
          <w:numId w:val="13"/>
        </w:numPr>
        <w:jc w:val="both"/>
        <w:rPr>
          <w:rFonts w:ascii="David" w:hAnsi="David" w:cs="David"/>
          <w:sz w:val="24"/>
          <w:szCs w:val="24"/>
        </w:rPr>
      </w:pPr>
      <w:r w:rsidRPr="006F383A">
        <w:rPr>
          <w:rFonts w:ascii="David" w:hAnsi="David" w:cs="David" w:hint="cs"/>
          <w:sz w:val="24"/>
          <w:szCs w:val="24"/>
          <w:rtl/>
        </w:rPr>
        <w:t xml:space="preserve">יש להבחין בין תביעה ייצוגית לנגזרת ולדון בשתי האפשריות. </w:t>
      </w:r>
      <w:r w:rsidR="004C0F16" w:rsidRPr="006F383A">
        <w:rPr>
          <w:rFonts w:ascii="David" w:hAnsi="David" w:cs="David" w:hint="cs"/>
          <w:sz w:val="24"/>
          <w:szCs w:val="24"/>
          <w:rtl/>
        </w:rPr>
        <w:t>מאחר שהסטיה ב</w:t>
      </w:r>
      <w:r w:rsidRPr="006F383A">
        <w:rPr>
          <w:rFonts w:ascii="David" w:hAnsi="David" w:cs="David" w:hint="cs"/>
          <w:sz w:val="24"/>
          <w:szCs w:val="24"/>
          <w:rtl/>
        </w:rPr>
        <w:t>א</w:t>
      </w:r>
      <w:r w:rsidR="004C0F16" w:rsidRPr="006F383A">
        <w:rPr>
          <w:rFonts w:ascii="David" w:hAnsi="David" w:cs="David" w:hint="cs"/>
          <w:sz w:val="24"/>
          <w:szCs w:val="24"/>
          <w:rtl/>
        </w:rPr>
        <w:t>ומדנים היתה בחברת הבת, עולה שאלה אם לרוני יש עילת תביעה</w:t>
      </w:r>
      <w:r>
        <w:rPr>
          <w:rFonts w:ascii="David" w:hAnsi="David" w:cs="David" w:hint="cs"/>
          <w:sz w:val="24"/>
          <w:szCs w:val="24"/>
          <w:rtl/>
        </w:rPr>
        <w:t xml:space="preserve"> אישית ואם אפשר להגיש נגזרת</w:t>
      </w:r>
      <w:r w:rsidR="004C0F16" w:rsidRPr="006F383A">
        <w:rPr>
          <w:rFonts w:ascii="David" w:hAnsi="David" w:cs="David" w:hint="cs"/>
          <w:sz w:val="24"/>
          <w:szCs w:val="24"/>
          <w:rtl/>
        </w:rPr>
        <w:t xml:space="preserve">. התשובה לכך בחיוב, בגלל שהדוחות שפורסמו היו מאוחדים והשפיעו גם על הדוחות של חברת האם. </w:t>
      </w:r>
    </w:p>
    <w:p w14:paraId="7EC825C6" w14:textId="77777777" w:rsidR="004C0F16" w:rsidRDefault="004C0F16" w:rsidP="004C0F16">
      <w:pPr>
        <w:pStyle w:val="ListParagraph"/>
        <w:jc w:val="both"/>
        <w:rPr>
          <w:rFonts w:ascii="David" w:hAnsi="David" w:cs="David"/>
          <w:sz w:val="24"/>
          <w:szCs w:val="24"/>
        </w:rPr>
      </w:pPr>
    </w:p>
    <w:p w14:paraId="023A829C" w14:textId="77777777" w:rsidR="006F383A" w:rsidRPr="006F383A" w:rsidRDefault="006F383A" w:rsidP="00933101">
      <w:pPr>
        <w:pStyle w:val="ListParagraph"/>
        <w:numPr>
          <w:ilvl w:val="0"/>
          <w:numId w:val="13"/>
        </w:numPr>
        <w:jc w:val="both"/>
        <w:rPr>
          <w:rFonts w:ascii="David" w:hAnsi="David" w:cs="David"/>
          <w:sz w:val="24"/>
          <w:szCs w:val="24"/>
        </w:rPr>
      </w:pPr>
      <w:r>
        <w:rPr>
          <w:rFonts w:ascii="David" w:hAnsi="David" w:cs="David" w:hint="cs"/>
          <w:sz w:val="24"/>
          <w:szCs w:val="24"/>
          <w:u w:val="single"/>
          <w:rtl/>
        </w:rPr>
        <w:t>לגבי התביעה האישית:</w:t>
      </w:r>
    </w:p>
    <w:p w14:paraId="19B154D2" w14:textId="77777777" w:rsidR="006F383A" w:rsidRPr="006F383A" w:rsidRDefault="006F383A" w:rsidP="006F383A">
      <w:pPr>
        <w:pStyle w:val="ListParagraph"/>
        <w:rPr>
          <w:rFonts w:ascii="David" w:hAnsi="David" w:cs="David" w:hint="cs"/>
          <w:sz w:val="24"/>
          <w:szCs w:val="24"/>
          <w:u w:val="single"/>
          <w:rtl/>
        </w:rPr>
      </w:pPr>
    </w:p>
    <w:p w14:paraId="3C705886" w14:textId="3C18106A" w:rsidR="004C0F16" w:rsidRDefault="00933101" w:rsidP="006F383A">
      <w:pPr>
        <w:pStyle w:val="ListParagraph"/>
        <w:jc w:val="both"/>
        <w:rPr>
          <w:rFonts w:ascii="David" w:hAnsi="David" w:cs="David"/>
          <w:sz w:val="24"/>
          <w:szCs w:val="24"/>
        </w:rPr>
      </w:pPr>
      <w:r w:rsidRPr="004C0F16">
        <w:rPr>
          <w:rFonts w:ascii="David" w:hAnsi="David" w:cs="David" w:hint="cs"/>
          <w:sz w:val="24"/>
          <w:szCs w:val="24"/>
          <w:u w:val="single"/>
          <w:rtl/>
        </w:rPr>
        <w:t>קשר סיבתי</w:t>
      </w:r>
      <w:r w:rsidR="004C0F16">
        <w:rPr>
          <w:rFonts w:ascii="David" w:hAnsi="David" w:cs="David" w:hint="cs"/>
          <w:sz w:val="24"/>
          <w:szCs w:val="24"/>
          <w:rtl/>
        </w:rPr>
        <w:t xml:space="preserve"> </w:t>
      </w:r>
      <w:r w:rsidR="004C0F16">
        <w:rPr>
          <w:rFonts w:ascii="David" w:hAnsi="David" w:cs="David"/>
          <w:sz w:val="24"/>
          <w:szCs w:val="24"/>
          <w:rtl/>
        </w:rPr>
        <w:t>–</w:t>
      </w:r>
      <w:r w:rsidR="004C0F16">
        <w:rPr>
          <w:rFonts w:ascii="David" w:hAnsi="David" w:cs="David" w:hint="cs"/>
          <w:sz w:val="24"/>
          <w:szCs w:val="24"/>
          <w:rtl/>
        </w:rPr>
        <w:t xml:space="preserve"> גם אם היה דיווח מטעה, הרי שרוני צריך להראות שקיים קשר סיבתי בין הנזק שנגרם לו לבין הדיווח המטעה. בהקשר הזה נכון להפריד בין </w:t>
      </w:r>
      <w:r w:rsidR="00622431">
        <w:rPr>
          <w:rFonts w:ascii="David" w:hAnsi="David" w:cs="David" w:hint="cs"/>
          <w:sz w:val="24"/>
          <w:szCs w:val="24"/>
          <w:rtl/>
        </w:rPr>
        <w:t xml:space="preserve">שלושה </w:t>
      </w:r>
      <w:r w:rsidR="004C0F16">
        <w:rPr>
          <w:rFonts w:ascii="David" w:hAnsi="David" w:cs="David" w:hint="cs"/>
          <w:sz w:val="24"/>
          <w:szCs w:val="24"/>
          <w:rtl/>
        </w:rPr>
        <w:t xml:space="preserve">אירועים השונים. </w:t>
      </w:r>
    </w:p>
    <w:p w14:paraId="7AA31721" w14:textId="77777777" w:rsidR="00622431" w:rsidRPr="00622431" w:rsidRDefault="00622431" w:rsidP="00622431">
      <w:pPr>
        <w:pStyle w:val="ListParagraph"/>
        <w:rPr>
          <w:rFonts w:ascii="David" w:hAnsi="David" w:cs="David"/>
          <w:sz w:val="24"/>
          <w:szCs w:val="24"/>
          <w:rtl/>
        </w:rPr>
      </w:pPr>
    </w:p>
    <w:p w14:paraId="4909D9DE" w14:textId="5C799DFC" w:rsidR="00622431" w:rsidRDefault="00622431" w:rsidP="004C0F16">
      <w:pPr>
        <w:pStyle w:val="ListParagraph"/>
        <w:numPr>
          <w:ilvl w:val="0"/>
          <w:numId w:val="14"/>
        </w:numPr>
        <w:jc w:val="both"/>
        <w:rPr>
          <w:rFonts w:ascii="David" w:hAnsi="David" w:cs="David"/>
          <w:sz w:val="24"/>
          <w:szCs w:val="24"/>
        </w:rPr>
      </w:pPr>
      <w:r>
        <w:rPr>
          <w:rFonts w:ascii="David" w:hAnsi="David" w:cs="David" w:hint="cs"/>
          <w:sz w:val="24"/>
          <w:szCs w:val="24"/>
          <w:rtl/>
        </w:rPr>
        <w:t>דיווח על כך ש</w:t>
      </w:r>
      <w:r w:rsidR="0016740A">
        <w:rPr>
          <w:rFonts w:ascii="David" w:hAnsi="David" w:cs="David" w:hint="cs"/>
          <w:sz w:val="24"/>
          <w:szCs w:val="24"/>
          <w:rtl/>
        </w:rPr>
        <w:t xml:space="preserve">חברת הבת פועלת בחו"ל. דיווח זה היה מלמד שמדובר בחברה יותר מסוכנת. יחד עם זאת, הנזק לא נבע מכך, ולכן לכאורה אין קשר סיבתי. </w:t>
      </w:r>
      <w:r w:rsidR="00467A2A">
        <w:rPr>
          <w:rFonts w:ascii="David" w:hAnsi="David" w:cs="David" w:hint="cs"/>
          <w:sz w:val="24"/>
          <w:szCs w:val="24"/>
          <w:rtl/>
        </w:rPr>
        <w:t xml:space="preserve"> </w:t>
      </w:r>
    </w:p>
    <w:p w14:paraId="5CBE8033" w14:textId="77777777" w:rsidR="00622431" w:rsidRDefault="00622431" w:rsidP="00622431">
      <w:pPr>
        <w:pStyle w:val="ListParagraph"/>
        <w:ind w:left="1080"/>
        <w:jc w:val="both"/>
        <w:rPr>
          <w:rFonts w:ascii="David" w:hAnsi="David" w:cs="David"/>
          <w:sz w:val="24"/>
          <w:szCs w:val="24"/>
        </w:rPr>
      </w:pPr>
    </w:p>
    <w:p w14:paraId="1FCCE4F1" w14:textId="536AF36F" w:rsidR="00933101" w:rsidRDefault="004C0F16" w:rsidP="004C0F16">
      <w:pPr>
        <w:pStyle w:val="ListParagraph"/>
        <w:numPr>
          <w:ilvl w:val="0"/>
          <w:numId w:val="14"/>
        </w:numPr>
        <w:jc w:val="both"/>
        <w:rPr>
          <w:rFonts w:ascii="David" w:hAnsi="David" w:cs="David"/>
          <w:sz w:val="24"/>
          <w:szCs w:val="24"/>
        </w:rPr>
      </w:pPr>
      <w:r>
        <w:rPr>
          <w:rFonts w:ascii="David" w:hAnsi="David" w:cs="David" w:hint="cs"/>
          <w:sz w:val="24"/>
          <w:szCs w:val="24"/>
          <w:rtl/>
        </w:rPr>
        <w:t xml:space="preserve">רוני לא יכול לתבוע בגין המניות שהמשיך להחזיק לאחר חודש אפריל, שכן אז כבר מחיר המניה חזר ל- 200 ש"ח. רוני לא יוכל לטעון כי נגרם לו נזק בכך שמחיר המניה עומד על 200 ש"ח ולא יותר מכך, שכן הוא לא יכול לטעון כי הוא יכול היה ליהנות מהדיווח המטעה (בדומה לעניין טצת). גם לפי שיטות החישוב השונות לא יוכל להראות שנגרם לו נזק. </w:t>
      </w:r>
    </w:p>
    <w:p w14:paraId="09DC5E5A" w14:textId="77777777" w:rsidR="004C0F16" w:rsidRDefault="004C0F16" w:rsidP="004C0F16">
      <w:pPr>
        <w:pStyle w:val="ListParagraph"/>
        <w:ind w:left="1080"/>
        <w:jc w:val="both"/>
        <w:rPr>
          <w:rFonts w:ascii="David" w:hAnsi="David" w:cs="David"/>
          <w:sz w:val="24"/>
          <w:szCs w:val="24"/>
        </w:rPr>
      </w:pPr>
    </w:p>
    <w:p w14:paraId="1C15EC5F" w14:textId="77777777" w:rsidR="00970903" w:rsidRDefault="004C0F16" w:rsidP="004C0F16">
      <w:pPr>
        <w:pStyle w:val="ListParagraph"/>
        <w:numPr>
          <w:ilvl w:val="0"/>
          <w:numId w:val="14"/>
        </w:numPr>
        <w:jc w:val="both"/>
        <w:rPr>
          <w:rFonts w:ascii="David" w:hAnsi="David" w:cs="David"/>
          <w:sz w:val="24"/>
          <w:szCs w:val="24"/>
        </w:rPr>
      </w:pPr>
      <w:r>
        <w:rPr>
          <w:rFonts w:ascii="David" w:hAnsi="David" w:cs="David" w:hint="cs"/>
          <w:sz w:val="24"/>
          <w:szCs w:val="24"/>
          <w:rtl/>
        </w:rPr>
        <w:t xml:space="preserve">לגבי המכירה במרץ 2018, קל יותר לבסס את הקשר הסיבתי ואת הנזק, שכן רוני מכר במועד שבו מחיר המניה צנח ל- 100 ש"ח וזאת גם בגלל העובדה שהחברה לא דיווחה באיזה פרויקטים נערכה הסטייה, אבל מנגד, החברה דיווחה כבר בתחילת שנת 2018 כי הסטייה נעשתה רק בחברת מישל בע"מ, אך פרסומים בעיתונות לא האמינו למנהלי החברה. כלומר, יש כאן מצב של חוסר שיקוף בשוק ההון של המחיר האמיתי בגלל בעית מהימנות, דבר שעשוי להפריע ולהכביד על האפשרות להוכיח קשר סיבתי. </w:t>
      </w:r>
    </w:p>
    <w:p w14:paraId="1019CA1D" w14:textId="77777777" w:rsidR="00970903" w:rsidRPr="00970903" w:rsidRDefault="00970903" w:rsidP="00970903">
      <w:pPr>
        <w:pStyle w:val="ListParagraph"/>
        <w:rPr>
          <w:rFonts w:ascii="David" w:hAnsi="David" w:cs="David"/>
          <w:sz w:val="24"/>
          <w:szCs w:val="24"/>
          <w:rtl/>
        </w:rPr>
      </w:pPr>
    </w:p>
    <w:p w14:paraId="7C9CA856" w14:textId="07E14DC0" w:rsidR="004C0F16" w:rsidRDefault="004C0F16" w:rsidP="00970903">
      <w:pPr>
        <w:pStyle w:val="ListParagraph"/>
        <w:ind w:left="1080"/>
        <w:jc w:val="both"/>
        <w:rPr>
          <w:rFonts w:ascii="David" w:hAnsi="David" w:cs="David"/>
          <w:sz w:val="24"/>
          <w:szCs w:val="24"/>
        </w:rPr>
      </w:pPr>
      <w:r>
        <w:rPr>
          <w:rFonts w:ascii="David" w:hAnsi="David" w:cs="David" w:hint="cs"/>
          <w:sz w:val="24"/>
          <w:szCs w:val="24"/>
          <w:rtl/>
        </w:rPr>
        <w:t xml:space="preserve">מבחינת שיטות לחישוב הנזק, אזי </w:t>
      </w:r>
      <w:r w:rsidR="00970903">
        <w:rPr>
          <w:rFonts w:ascii="David" w:hAnsi="David" w:cs="David" w:hint="cs"/>
          <w:sz w:val="24"/>
          <w:szCs w:val="24"/>
          <w:rtl/>
        </w:rPr>
        <w:t>כאשר מ</w:t>
      </w:r>
      <w:r w:rsidR="006F383A">
        <w:rPr>
          <w:rFonts w:ascii="David" w:hAnsi="David" w:cs="David" w:hint="cs"/>
          <w:sz w:val="24"/>
          <w:szCs w:val="24"/>
          <w:rtl/>
        </w:rPr>
        <w:t>כ</w:t>
      </w:r>
      <w:r w:rsidR="00970903">
        <w:rPr>
          <w:rFonts w:ascii="David" w:hAnsi="David" w:cs="David" w:hint="cs"/>
          <w:sz w:val="24"/>
          <w:szCs w:val="24"/>
          <w:rtl/>
        </w:rPr>
        <w:t xml:space="preserve">ר במרץ, הוא יוכל לקבל פיצוי של 100 ש"ח לפי שיטת חסרון הכיס, אך לפי שיטת חסרון הכיס המקורבת יצטרכו להתחשב בבהלה שהיתה בשוק ההון ואשר גרמה למניה לצנוח יותר ממה שנדרש. </w:t>
      </w:r>
    </w:p>
    <w:p w14:paraId="0A68AB92" w14:textId="77777777" w:rsidR="004C0F16" w:rsidRPr="004C0F16" w:rsidRDefault="004C0F16" w:rsidP="004C0F16">
      <w:pPr>
        <w:pStyle w:val="ListParagraph"/>
        <w:rPr>
          <w:rFonts w:ascii="David" w:hAnsi="David" w:cs="David"/>
          <w:sz w:val="24"/>
          <w:szCs w:val="24"/>
          <w:rtl/>
        </w:rPr>
      </w:pPr>
    </w:p>
    <w:p w14:paraId="69C374E7" w14:textId="77777777" w:rsidR="004C0F16" w:rsidRDefault="004C0F16" w:rsidP="004C0F16">
      <w:pPr>
        <w:pStyle w:val="ListParagraph"/>
        <w:ind w:left="1080"/>
        <w:jc w:val="both"/>
        <w:rPr>
          <w:rFonts w:ascii="David" w:hAnsi="David" w:cs="David"/>
          <w:sz w:val="24"/>
          <w:szCs w:val="24"/>
        </w:rPr>
      </w:pPr>
    </w:p>
    <w:p w14:paraId="6FD7D8FC" w14:textId="2481FE86" w:rsidR="00933101" w:rsidRDefault="00933101" w:rsidP="00727CD7">
      <w:pPr>
        <w:pStyle w:val="ListParagraph"/>
        <w:jc w:val="both"/>
        <w:rPr>
          <w:rFonts w:ascii="David" w:hAnsi="David" w:cs="David"/>
          <w:sz w:val="24"/>
          <w:szCs w:val="24"/>
          <w:u w:val="single"/>
        </w:rPr>
      </w:pPr>
      <w:r w:rsidRPr="004C0F16">
        <w:rPr>
          <w:rFonts w:ascii="David" w:hAnsi="David" w:cs="David" w:hint="cs"/>
          <w:sz w:val="24"/>
          <w:szCs w:val="24"/>
          <w:u w:val="single"/>
          <w:rtl/>
        </w:rPr>
        <w:t>תום לב של רוני</w:t>
      </w:r>
      <w:r w:rsidR="004C0F16" w:rsidRPr="004C0F16">
        <w:rPr>
          <w:rFonts w:ascii="David" w:hAnsi="David" w:cs="David" w:hint="cs"/>
          <w:sz w:val="24"/>
          <w:szCs w:val="24"/>
          <w:rtl/>
        </w:rPr>
        <w:t xml:space="preserve"> </w:t>
      </w:r>
      <w:r w:rsidR="004C0F16" w:rsidRPr="004C0F16">
        <w:rPr>
          <w:rFonts w:ascii="David" w:hAnsi="David" w:cs="David"/>
          <w:sz w:val="24"/>
          <w:szCs w:val="24"/>
          <w:rtl/>
        </w:rPr>
        <w:t>–</w:t>
      </w:r>
      <w:r w:rsidR="004C0F16" w:rsidRPr="004C0F16">
        <w:rPr>
          <w:rFonts w:ascii="David" w:hAnsi="David" w:cs="David" w:hint="cs"/>
          <w:sz w:val="24"/>
          <w:szCs w:val="24"/>
          <w:rtl/>
        </w:rPr>
        <w:t xml:space="preserve"> רוני כל התקופה מחזיק במניה</w:t>
      </w:r>
      <w:r w:rsidR="004C0F16">
        <w:rPr>
          <w:rFonts w:ascii="David" w:hAnsi="David" w:cs="David" w:hint="cs"/>
          <w:sz w:val="24"/>
          <w:szCs w:val="24"/>
          <w:rtl/>
        </w:rPr>
        <w:t>, ולכן אפשר לפרש את התביעה שלו כתביעה סחטנית</w:t>
      </w:r>
      <w:r w:rsidR="004C0F16" w:rsidRPr="004C0F16">
        <w:rPr>
          <w:rFonts w:ascii="David" w:hAnsi="David" w:cs="David" w:hint="cs"/>
          <w:sz w:val="24"/>
          <w:szCs w:val="24"/>
          <w:rtl/>
        </w:rPr>
        <w:t xml:space="preserve">. </w:t>
      </w:r>
      <w:r w:rsidR="004C0F16" w:rsidRPr="004C0F16">
        <w:rPr>
          <w:rFonts w:ascii="David" w:hAnsi="David" w:cs="David" w:hint="cs"/>
          <w:sz w:val="24"/>
          <w:szCs w:val="24"/>
          <w:u w:val="single"/>
          <w:rtl/>
        </w:rPr>
        <w:t xml:space="preserve"> </w:t>
      </w:r>
    </w:p>
    <w:p w14:paraId="2A0E2CE1" w14:textId="77777777" w:rsidR="004C0F16" w:rsidRDefault="004C0F16" w:rsidP="004C0F16">
      <w:pPr>
        <w:pStyle w:val="ListParagraph"/>
        <w:jc w:val="both"/>
        <w:rPr>
          <w:rFonts w:ascii="David" w:hAnsi="David" w:cs="David"/>
          <w:sz w:val="24"/>
          <w:szCs w:val="24"/>
          <w:u w:val="single"/>
        </w:rPr>
      </w:pPr>
    </w:p>
    <w:p w14:paraId="6CB3E490" w14:textId="7254854B" w:rsidR="004C0F16" w:rsidRPr="004C0F16" w:rsidRDefault="004C0F16" w:rsidP="00727CD7">
      <w:pPr>
        <w:pStyle w:val="ListParagraph"/>
        <w:jc w:val="both"/>
        <w:rPr>
          <w:rFonts w:ascii="David" w:hAnsi="David" w:cs="David"/>
          <w:sz w:val="24"/>
          <w:szCs w:val="24"/>
          <w:rtl/>
        </w:rPr>
      </w:pPr>
      <w:r>
        <w:rPr>
          <w:rFonts w:ascii="David" w:hAnsi="David" w:cs="David" w:hint="cs"/>
          <w:sz w:val="24"/>
          <w:szCs w:val="24"/>
          <w:u w:val="single"/>
          <w:rtl/>
        </w:rPr>
        <w:t>קבוצה</w:t>
      </w:r>
      <w:r w:rsidRPr="004C0F16">
        <w:rPr>
          <w:rFonts w:ascii="David" w:hAnsi="David" w:cs="David" w:hint="cs"/>
          <w:sz w:val="24"/>
          <w:szCs w:val="24"/>
          <w:rtl/>
        </w:rPr>
        <w:t xml:space="preserve"> </w:t>
      </w:r>
      <w:r w:rsidRPr="004C0F16">
        <w:rPr>
          <w:rFonts w:ascii="David" w:hAnsi="David" w:cs="David"/>
          <w:sz w:val="24"/>
          <w:szCs w:val="24"/>
          <w:rtl/>
        </w:rPr>
        <w:t>–</w:t>
      </w:r>
      <w:r w:rsidRPr="004C0F16">
        <w:rPr>
          <w:rFonts w:ascii="David" w:hAnsi="David" w:cs="David" w:hint="cs"/>
          <w:sz w:val="24"/>
          <w:szCs w:val="24"/>
          <w:rtl/>
        </w:rPr>
        <w:t xml:space="preserve"> רוני גם לא יכול לייצג טוב את הקבוצות, משום </w:t>
      </w:r>
      <w:r>
        <w:rPr>
          <w:rFonts w:ascii="David" w:hAnsi="David" w:cs="David" w:hint="cs"/>
          <w:sz w:val="24"/>
          <w:szCs w:val="24"/>
          <w:rtl/>
        </w:rPr>
        <w:t xml:space="preserve">שהוא מחזיק במניה לאורך תקופה ארוכה, ובעצם החזיק לפני הדיווחים המטעים ולאחריהם. מי שספג את הנזק הם דווקא בעלי מניות שרכשו </w:t>
      </w:r>
      <w:r w:rsidRPr="004C0F16">
        <w:rPr>
          <w:rFonts w:ascii="David" w:hAnsi="David" w:cs="David" w:hint="cs"/>
          <w:sz w:val="24"/>
          <w:szCs w:val="24"/>
          <w:u w:val="single"/>
          <w:rtl/>
        </w:rPr>
        <w:t>לאחר שהחברה</w:t>
      </w:r>
      <w:r>
        <w:rPr>
          <w:rFonts w:ascii="David" w:hAnsi="David" w:cs="David" w:hint="cs"/>
          <w:sz w:val="24"/>
          <w:szCs w:val="24"/>
          <w:rtl/>
        </w:rPr>
        <w:t xml:space="preserve"> דיווחה את הדיווחים המטעים.</w:t>
      </w:r>
    </w:p>
    <w:p w14:paraId="7DB9702B" w14:textId="6DAE5DAF" w:rsidR="001B7A26" w:rsidRPr="004C0F16" w:rsidRDefault="004E42B2" w:rsidP="004C0F16">
      <w:pPr>
        <w:jc w:val="both"/>
        <w:rPr>
          <w:rFonts w:ascii="David" w:hAnsi="David" w:cs="David"/>
          <w:b/>
          <w:bCs/>
          <w:sz w:val="24"/>
          <w:szCs w:val="24"/>
          <w:u w:val="single"/>
          <w:rtl/>
        </w:rPr>
      </w:pPr>
      <w:r w:rsidRPr="004C0F16">
        <w:rPr>
          <w:rFonts w:ascii="David" w:hAnsi="David" w:cs="David" w:hint="cs"/>
          <w:b/>
          <w:bCs/>
          <w:sz w:val="24"/>
          <w:szCs w:val="24"/>
          <w:u w:val="single"/>
          <w:rtl/>
        </w:rPr>
        <w:t xml:space="preserve">שאלה </w:t>
      </w:r>
      <w:r w:rsidR="0077626F" w:rsidRPr="004C0F16">
        <w:rPr>
          <w:rFonts w:ascii="David" w:hAnsi="David" w:cs="David" w:hint="cs"/>
          <w:b/>
          <w:bCs/>
          <w:sz w:val="24"/>
          <w:szCs w:val="24"/>
          <w:u w:val="single"/>
          <w:rtl/>
        </w:rPr>
        <w:t>2</w:t>
      </w:r>
      <w:r w:rsidR="00D860C2" w:rsidRPr="004C0F16">
        <w:rPr>
          <w:rFonts w:ascii="David" w:hAnsi="David" w:cs="David" w:hint="cs"/>
          <w:b/>
          <w:bCs/>
          <w:sz w:val="24"/>
          <w:szCs w:val="24"/>
          <w:u w:val="single"/>
          <w:rtl/>
        </w:rPr>
        <w:t xml:space="preserve"> </w:t>
      </w:r>
      <w:r w:rsidR="00B8403F" w:rsidRPr="004C0F16">
        <w:rPr>
          <w:rFonts w:ascii="David" w:hAnsi="David" w:cs="David"/>
          <w:b/>
          <w:bCs/>
          <w:sz w:val="24"/>
          <w:szCs w:val="24"/>
          <w:u w:val="single"/>
          <w:rtl/>
        </w:rPr>
        <w:t>–</w:t>
      </w:r>
      <w:r w:rsidR="00B8403F" w:rsidRPr="004C0F16">
        <w:rPr>
          <w:rFonts w:ascii="David" w:hAnsi="David" w:cs="David" w:hint="cs"/>
          <w:b/>
          <w:bCs/>
          <w:sz w:val="24"/>
          <w:szCs w:val="24"/>
          <w:u w:val="single"/>
          <w:rtl/>
        </w:rPr>
        <w:t xml:space="preserve"> </w:t>
      </w:r>
      <w:r w:rsidR="005642C2" w:rsidRPr="004C0F16">
        <w:rPr>
          <w:rFonts w:ascii="David" w:hAnsi="David" w:cs="David" w:hint="cs"/>
          <w:b/>
          <w:bCs/>
          <w:sz w:val="24"/>
          <w:szCs w:val="24"/>
          <w:u w:val="single"/>
          <w:rtl/>
        </w:rPr>
        <w:t xml:space="preserve">מומלץ </w:t>
      </w:r>
      <w:r w:rsidR="00B8403F" w:rsidRPr="004C0F16">
        <w:rPr>
          <w:rFonts w:ascii="David" w:hAnsi="David" w:cs="David" w:hint="cs"/>
          <w:b/>
          <w:bCs/>
          <w:sz w:val="24"/>
          <w:szCs w:val="24"/>
          <w:u w:val="single"/>
          <w:rtl/>
        </w:rPr>
        <w:t xml:space="preserve">עד </w:t>
      </w:r>
      <w:r w:rsidR="005642C2" w:rsidRPr="004C0F16">
        <w:rPr>
          <w:rFonts w:ascii="David" w:hAnsi="David" w:cs="David" w:hint="cs"/>
          <w:b/>
          <w:bCs/>
          <w:sz w:val="24"/>
          <w:szCs w:val="24"/>
          <w:u w:val="single"/>
          <w:rtl/>
        </w:rPr>
        <w:t>שני עמודים</w:t>
      </w:r>
      <w:r w:rsidR="00B8403F" w:rsidRPr="004C0F16">
        <w:rPr>
          <w:rFonts w:ascii="David" w:hAnsi="David" w:cs="David" w:hint="cs"/>
          <w:b/>
          <w:bCs/>
          <w:sz w:val="24"/>
          <w:szCs w:val="24"/>
          <w:u w:val="single"/>
          <w:rtl/>
        </w:rPr>
        <w:t xml:space="preserve"> (</w:t>
      </w:r>
      <w:r w:rsidR="0077626F" w:rsidRPr="004C0F16">
        <w:rPr>
          <w:rFonts w:ascii="David" w:hAnsi="David" w:cs="David" w:hint="cs"/>
          <w:b/>
          <w:bCs/>
          <w:sz w:val="24"/>
          <w:szCs w:val="24"/>
          <w:u w:val="single"/>
          <w:rtl/>
        </w:rPr>
        <w:t>5</w:t>
      </w:r>
      <w:r w:rsidR="00180E9E" w:rsidRPr="004C0F16">
        <w:rPr>
          <w:rFonts w:ascii="David" w:hAnsi="David" w:cs="David" w:hint="cs"/>
          <w:b/>
          <w:bCs/>
          <w:sz w:val="24"/>
          <w:szCs w:val="24"/>
          <w:u w:val="single"/>
          <w:rtl/>
        </w:rPr>
        <w:t>0</w:t>
      </w:r>
      <w:r w:rsidR="00B8403F" w:rsidRPr="004C0F16">
        <w:rPr>
          <w:rFonts w:ascii="David" w:hAnsi="David" w:cs="David" w:hint="cs"/>
          <w:b/>
          <w:bCs/>
          <w:sz w:val="24"/>
          <w:szCs w:val="24"/>
          <w:u w:val="single"/>
          <w:rtl/>
        </w:rPr>
        <w:t>%)</w:t>
      </w:r>
    </w:p>
    <w:p w14:paraId="7C63CE7D" w14:textId="30788A3A" w:rsidR="00970903" w:rsidRDefault="00970903" w:rsidP="00180E9E">
      <w:pPr>
        <w:spacing w:after="120" w:line="360" w:lineRule="auto"/>
        <w:jc w:val="both"/>
        <w:rPr>
          <w:rFonts w:ascii="David" w:hAnsi="David" w:cs="David"/>
          <w:sz w:val="24"/>
          <w:szCs w:val="24"/>
          <w:u w:val="single"/>
          <w:rtl/>
        </w:rPr>
      </w:pPr>
      <w:r w:rsidRPr="00970903">
        <w:rPr>
          <w:rFonts w:ascii="David" w:hAnsi="David" w:cs="David" w:hint="cs"/>
          <w:sz w:val="24"/>
          <w:szCs w:val="24"/>
          <w:u w:val="single"/>
          <w:rtl/>
        </w:rPr>
        <w:t>סעיף קטן (1)</w:t>
      </w:r>
    </w:p>
    <w:p w14:paraId="1B5BA592" w14:textId="16642F85" w:rsidR="00970903" w:rsidRDefault="00970903" w:rsidP="00970903">
      <w:pPr>
        <w:spacing w:after="120" w:line="360" w:lineRule="auto"/>
        <w:jc w:val="both"/>
        <w:rPr>
          <w:rFonts w:ascii="David" w:hAnsi="David" w:cs="David"/>
          <w:sz w:val="24"/>
          <w:szCs w:val="24"/>
          <w:rtl/>
        </w:rPr>
      </w:pPr>
      <w:r w:rsidRPr="00970903">
        <w:rPr>
          <w:rFonts w:ascii="David" w:hAnsi="David" w:cs="David" w:hint="cs"/>
          <w:sz w:val="24"/>
          <w:szCs w:val="24"/>
          <w:rtl/>
        </w:rPr>
        <w:t xml:space="preserve">נדרש לנתח את המשמעות של גילוי מסמכים בתביעה נגזרת והקשיים המתעוררים בו כיום, בגלל האפשרות לבקש גילוי מסמכים מלכתחילה. יש להתייחס לפסה"ד של בית המשפט העליון בעניין רבקה טכנולוגיות בכל הנוגע לבחירה שבין הליך גילוי מסמכים לבין הליך של תביעה נגזרת. </w:t>
      </w:r>
    </w:p>
    <w:p w14:paraId="1C7FC6C7" w14:textId="097F5B2B" w:rsidR="00970903" w:rsidRPr="00970903" w:rsidRDefault="00970903" w:rsidP="00970903">
      <w:pPr>
        <w:spacing w:after="120" w:line="360" w:lineRule="auto"/>
        <w:jc w:val="both"/>
        <w:rPr>
          <w:rFonts w:ascii="David" w:hAnsi="David" w:cs="David"/>
          <w:sz w:val="24"/>
          <w:szCs w:val="24"/>
          <w:u w:val="single"/>
        </w:rPr>
      </w:pPr>
      <w:r w:rsidRPr="00970903">
        <w:rPr>
          <w:rFonts w:ascii="David" w:hAnsi="David" w:cs="David" w:hint="cs"/>
          <w:sz w:val="24"/>
          <w:szCs w:val="24"/>
          <w:u w:val="single"/>
          <w:rtl/>
        </w:rPr>
        <w:t>סעיף קטן (2)</w:t>
      </w:r>
    </w:p>
    <w:p w14:paraId="79ACDDF1" w14:textId="77777777" w:rsidR="00970903" w:rsidRDefault="00970903" w:rsidP="00970903">
      <w:pPr>
        <w:spacing w:after="120" w:line="360" w:lineRule="auto"/>
        <w:jc w:val="both"/>
        <w:rPr>
          <w:rFonts w:ascii="David" w:hAnsi="David" w:cs="David"/>
          <w:sz w:val="24"/>
          <w:szCs w:val="24"/>
          <w:rtl/>
        </w:rPr>
      </w:pPr>
      <w:r>
        <w:rPr>
          <w:rFonts w:ascii="David" w:hAnsi="David" w:cs="David" w:hint="cs"/>
          <w:sz w:val="24"/>
          <w:szCs w:val="24"/>
          <w:rtl/>
        </w:rPr>
        <w:t>הליך גילוי מסמכים בתביעת קיפוח ובתביעה ייצוגית הוא צר יותר ואפשרי רק לאחר הגשת התביעה. השאלה אם ראוי להרחיב את הזכות כפי שקיימת בתביעה נגזרת, כרוכה באבחנה בין תביעה ייצוגית ותביעת קיפוח המיעוט לבין תביעה נגזרת. לכן, התשובה לכך נגזרת הן משיקולי מדיניות והן מסוגם המהותי והשונה של ההליכים.</w:t>
      </w:r>
    </w:p>
    <w:p w14:paraId="49AE1817" w14:textId="6356D722" w:rsidR="00970903" w:rsidRDefault="00970903" w:rsidP="00970903">
      <w:pPr>
        <w:spacing w:after="120" w:line="360" w:lineRule="auto"/>
        <w:jc w:val="both"/>
        <w:rPr>
          <w:rFonts w:ascii="David" w:hAnsi="David" w:cs="David"/>
          <w:sz w:val="24"/>
          <w:szCs w:val="24"/>
          <w:rtl/>
        </w:rPr>
      </w:pPr>
      <w:r>
        <w:rPr>
          <w:rFonts w:ascii="David" w:hAnsi="David" w:cs="David" w:hint="cs"/>
          <w:sz w:val="24"/>
          <w:szCs w:val="24"/>
          <w:rtl/>
        </w:rPr>
        <w:t xml:space="preserve">להלן שני שיקולים לדוגמא: </w:t>
      </w:r>
    </w:p>
    <w:p w14:paraId="3DDFC307" w14:textId="2A189D84" w:rsidR="00970903" w:rsidRDefault="00970903" w:rsidP="00970903">
      <w:pPr>
        <w:spacing w:after="120" w:line="360" w:lineRule="auto"/>
        <w:jc w:val="both"/>
        <w:rPr>
          <w:rFonts w:ascii="David" w:hAnsi="David" w:cs="David"/>
          <w:sz w:val="24"/>
          <w:szCs w:val="24"/>
          <w:rtl/>
        </w:rPr>
      </w:pPr>
      <w:r>
        <w:rPr>
          <w:rFonts w:ascii="David" w:hAnsi="David" w:cs="David" w:hint="cs"/>
          <w:sz w:val="24"/>
          <w:szCs w:val="24"/>
          <w:rtl/>
        </w:rPr>
        <w:t xml:space="preserve">בעוד תביעה נגזרת נועדה לאפשר לריב את ריבה של החברה, הרי שתביעת קיפוח וייצוגית נועדה לאפשר לבעל המניות לקבל סעד בגין פגיעה בזכות שלו. לכן, לכאורה יש לצמצם את הליך גילוי המסמכים ולא לאפשר מתן מסמכים באופן שדומה לתביעה נגזרת. </w:t>
      </w:r>
    </w:p>
    <w:p w14:paraId="0D5FA8B3" w14:textId="2A7604F6" w:rsidR="00970903" w:rsidRPr="00970903" w:rsidRDefault="00970903" w:rsidP="00970903">
      <w:pPr>
        <w:spacing w:after="120" w:line="360" w:lineRule="auto"/>
        <w:jc w:val="both"/>
        <w:rPr>
          <w:rFonts w:ascii="David" w:hAnsi="David" w:cs="David"/>
          <w:sz w:val="24"/>
          <w:szCs w:val="24"/>
          <w:rtl/>
        </w:rPr>
      </w:pPr>
      <w:r>
        <w:rPr>
          <w:rFonts w:ascii="David" w:hAnsi="David" w:cs="David" w:hint="cs"/>
          <w:sz w:val="24"/>
          <w:szCs w:val="24"/>
          <w:rtl/>
        </w:rPr>
        <w:t xml:space="preserve">בתביעת קיפוח המיעוט גם אין הליך של בקשה לאישור, כפי שקיים בתביעה נגזרת, ולכן מתן אפשרות לגילוי מסמכים, עשוי להרחיב יתר על המידה את האפשרות לקבל גילוי מסמכים באופן שעשוי לפגוע בהתנהלות השוטפת של החברה. </w:t>
      </w:r>
    </w:p>
    <w:sectPr w:rsidR="00970903" w:rsidRPr="00970903" w:rsidSect="0077670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TUR">
    <w:altName w:val="Arial"/>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A45BA"/>
    <w:multiLevelType w:val="hybridMultilevel"/>
    <w:tmpl w:val="F98064D6"/>
    <w:lvl w:ilvl="0" w:tplc="B0C057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97230"/>
    <w:multiLevelType w:val="hybridMultilevel"/>
    <w:tmpl w:val="BCA81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C236E"/>
    <w:multiLevelType w:val="hybridMultilevel"/>
    <w:tmpl w:val="25489E22"/>
    <w:lvl w:ilvl="0" w:tplc="4EF46160">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112C9"/>
    <w:multiLevelType w:val="hybridMultilevel"/>
    <w:tmpl w:val="0A8E6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81DA4"/>
    <w:multiLevelType w:val="multilevel"/>
    <w:tmpl w:val="C3785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CB7C6D"/>
    <w:multiLevelType w:val="hybridMultilevel"/>
    <w:tmpl w:val="AABEDA42"/>
    <w:lvl w:ilvl="0" w:tplc="FA1454E0">
      <w:start w:val="1"/>
      <w:numFmt w:val="bullet"/>
      <w:lvlText w:val=""/>
      <w:lvlJc w:val="left"/>
      <w:pPr>
        <w:ind w:left="720" w:hanging="360"/>
      </w:pPr>
      <w:rPr>
        <w:rFonts w:ascii="Symbol" w:eastAsiaTheme="minorEastAsia"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20FE6"/>
    <w:multiLevelType w:val="hybridMultilevel"/>
    <w:tmpl w:val="DC92879C"/>
    <w:lvl w:ilvl="0" w:tplc="1E225D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B4D41"/>
    <w:multiLevelType w:val="hybridMultilevel"/>
    <w:tmpl w:val="2CB8D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B2E35"/>
    <w:multiLevelType w:val="hybridMultilevel"/>
    <w:tmpl w:val="0524A770"/>
    <w:lvl w:ilvl="0" w:tplc="F1A62AAA">
      <w:numFmt w:val="bullet"/>
      <w:lvlText w:val=""/>
      <w:lvlJc w:val="left"/>
      <w:pPr>
        <w:ind w:left="720" w:hanging="360"/>
      </w:pPr>
      <w:rPr>
        <w:rFonts w:ascii="Symbol" w:eastAsiaTheme="minorEastAsia"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55320"/>
    <w:multiLevelType w:val="hybridMultilevel"/>
    <w:tmpl w:val="15CA2794"/>
    <w:lvl w:ilvl="0" w:tplc="D04EB5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CD79C2"/>
    <w:multiLevelType w:val="hybridMultilevel"/>
    <w:tmpl w:val="2B98C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2B01F5"/>
    <w:multiLevelType w:val="hybridMultilevel"/>
    <w:tmpl w:val="46106712"/>
    <w:lvl w:ilvl="0" w:tplc="3BD82F76">
      <w:start w:val="1"/>
      <w:numFmt w:val="hebrew1"/>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4835F9"/>
    <w:multiLevelType w:val="hybridMultilevel"/>
    <w:tmpl w:val="43FED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08433A"/>
    <w:multiLevelType w:val="hybridMultilevel"/>
    <w:tmpl w:val="651673F8"/>
    <w:lvl w:ilvl="0" w:tplc="CA385550">
      <w:start w:val="3"/>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DD3A8E"/>
    <w:multiLevelType w:val="hybridMultilevel"/>
    <w:tmpl w:val="D842E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0"/>
  </w:num>
  <w:num w:numId="4">
    <w:abstractNumId w:val="3"/>
  </w:num>
  <w:num w:numId="5">
    <w:abstractNumId w:val="13"/>
  </w:num>
  <w:num w:numId="6">
    <w:abstractNumId w:val="14"/>
  </w:num>
  <w:num w:numId="7">
    <w:abstractNumId w:val="7"/>
  </w:num>
  <w:num w:numId="8">
    <w:abstractNumId w:val="9"/>
  </w:num>
  <w:num w:numId="9">
    <w:abstractNumId w:val="1"/>
  </w:num>
  <w:num w:numId="10">
    <w:abstractNumId w:val="4"/>
  </w:num>
  <w:num w:numId="11">
    <w:abstractNumId w:val="2"/>
  </w:num>
  <w:num w:numId="12">
    <w:abstractNumId w:val="8"/>
  </w:num>
  <w:num w:numId="13">
    <w:abstractNumId w:val="10"/>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D62F7"/>
    <w:rsid w:val="00021178"/>
    <w:rsid w:val="000D62F7"/>
    <w:rsid w:val="0012661A"/>
    <w:rsid w:val="00127D7C"/>
    <w:rsid w:val="0016740A"/>
    <w:rsid w:val="00180E9E"/>
    <w:rsid w:val="001B4E10"/>
    <w:rsid w:val="001B7A26"/>
    <w:rsid w:val="002037D5"/>
    <w:rsid w:val="00215FFD"/>
    <w:rsid w:val="00274509"/>
    <w:rsid w:val="00310241"/>
    <w:rsid w:val="00320286"/>
    <w:rsid w:val="00341CB1"/>
    <w:rsid w:val="00345E39"/>
    <w:rsid w:val="0036187A"/>
    <w:rsid w:val="003A10F9"/>
    <w:rsid w:val="003A6842"/>
    <w:rsid w:val="003E336C"/>
    <w:rsid w:val="00441E40"/>
    <w:rsid w:val="00467A2A"/>
    <w:rsid w:val="00487223"/>
    <w:rsid w:val="004C0F16"/>
    <w:rsid w:val="004E42B2"/>
    <w:rsid w:val="005175EF"/>
    <w:rsid w:val="00527F94"/>
    <w:rsid w:val="00543EF2"/>
    <w:rsid w:val="005642C2"/>
    <w:rsid w:val="00564B7E"/>
    <w:rsid w:val="00566191"/>
    <w:rsid w:val="005722C8"/>
    <w:rsid w:val="00622431"/>
    <w:rsid w:val="006D067E"/>
    <w:rsid w:val="006F383A"/>
    <w:rsid w:val="0072506B"/>
    <w:rsid w:val="00727CD7"/>
    <w:rsid w:val="007559C0"/>
    <w:rsid w:val="0077626F"/>
    <w:rsid w:val="0077670F"/>
    <w:rsid w:val="007C7290"/>
    <w:rsid w:val="008021E4"/>
    <w:rsid w:val="00826D19"/>
    <w:rsid w:val="008377F5"/>
    <w:rsid w:val="00842E8B"/>
    <w:rsid w:val="008721C9"/>
    <w:rsid w:val="008B0C26"/>
    <w:rsid w:val="008E508B"/>
    <w:rsid w:val="00933101"/>
    <w:rsid w:val="00970903"/>
    <w:rsid w:val="00976759"/>
    <w:rsid w:val="009E68FB"/>
    <w:rsid w:val="00AE6CF6"/>
    <w:rsid w:val="00B8403F"/>
    <w:rsid w:val="00D860C2"/>
    <w:rsid w:val="00D93E0B"/>
    <w:rsid w:val="00DA45E1"/>
    <w:rsid w:val="00E277D7"/>
    <w:rsid w:val="00E744F8"/>
    <w:rsid w:val="00E7556A"/>
    <w:rsid w:val="00EF2667"/>
    <w:rsid w:val="00EF34AA"/>
    <w:rsid w:val="00F07B50"/>
    <w:rsid w:val="00F70E93"/>
    <w:rsid w:val="00F91CFF"/>
    <w:rsid w:val="00F92C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84D2"/>
  <w15:docId w15:val="{B896CD72-25BC-4A34-B791-9C999351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661A"/>
    <w:pPr>
      <w:bidi/>
    </w:pPr>
  </w:style>
  <w:style w:type="paragraph" w:styleId="Heading1">
    <w:name w:val="heading 1"/>
    <w:basedOn w:val="Normal"/>
    <w:next w:val="Normal"/>
    <w:link w:val="Heading1Char"/>
    <w:qFormat/>
    <w:rsid w:val="00021178"/>
    <w:pPr>
      <w:keepNext/>
      <w:spacing w:after="0" w:line="240" w:lineRule="auto"/>
      <w:jc w:val="both"/>
      <w:outlineLvl w:val="0"/>
    </w:pPr>
    <w:rPr>
      <w:rFonts w:ascii="Times New Roman" w:eastAsia="Times New Roman" w:hAnsi="Times New Roman" w:cs="David"/>
      <w:b/>
      <w:bCs/>
      <w:noProof/>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A26"/>
    <w:rPr>
      <w:color w:val="0000FF" w:themeColor="hyperlink"/>
      <w:u w:val="single"/>
    </w:rPr>
  </w:style>
  <w:style w:type="paragraph" w:styleId="ListParagraph">
    <w:name w:val="List Paragraph"/>
    <w:basedOn w:val="Normal"/>
    <w:qFormat/>
    <w:rsid w:val="004E42B2"/>
    <w:pPr>
      <w:ind w:left="720"/>
      <w:contextualSpacing/>
    </w:pPr>
  </w:style>
  <w:style w:type="character" w:styleId="FollowedHyperlink">
    <w:name w:val="FollowedHyperlink"/>
    <w:basedOn w:val="DefaultParagraphFont"/>
    <w:uiPriority w:val="99"/>
    <w:semiHidden/>
    <w:unhideWhenUsed/>
    <w:rsid w:val="00D860C2"/>
    <w:rPr>
      <w:color w:val="800080" w:themeColor="followedHyperlink"/>
      <w:u w:val="single"/>
    </w:rPr>
  </w:style>
  <w:style w:type="character" w:customStyle="1" w:styleId="Ruller4">
    <w:name w:val="Ruller4 תו"/>
    <w:basedOn w:val="DefaultParagraphFont"/>
    <w:link w:val="Ruller40"/>
    <w:rsid w:val="00D860C2"/>
    <w:rPr>
      <w:rFonts w:ascii="Arial TUR" w:hAnsi="Arial TUR" w:cs="Arial TUR"/>
      <w:spacing w:val="10"/>
    </w:rPr>
  </w:style>
  <w:style w:type="paragraph" w:customStyle="1" w:styleId="Ruller40">
    <w:name w:val="Ruller4"/>
    <w:basedOn w:val="Normal"/>
    <w:link w:val="Ruller4"/>
    <w:rsid w:val="00D860C2"/>
    <w:pPr>
      <w:overflowPunct w:val="0"/>
      <w:autoSpaceDE w:val="0"/>
      <w:autoSpaceDN w:val="0"/>
      <w:spacing w:after="0" w:line="360" w:lineRule="auto"/>
      <w:jc w:val="both"/>
    </w:pPr>
    <w:rPr>
      <w:rFonts w:ascii="Arial TUR" w:hAnsi="Arial TUR" w:cs="Arial TUR"/>
      <w:spacing w:val="10"/>
    </w:rPr>
  </w:style>
  <w:style w:type="paragraph" w:styleId="Header">
    <w:name w:val="header"/>
    <w:basedOn w:val="Normal"/>
    <w:link w:val="HeaderChar"/>
    <w:rsid w:val="00D860C2"/>
    <w:pPr>
      <w:overflowPunct w:val="0"/>
      <w:autoSpaceDE w:val="0"/>
      <w:autoSpaceDN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860C2"/>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021178"/>
    <w:rPr>
      <w:rFonts w:ascii="Times New Roman" w:eastAsia="Times New Roman" w:hAnsi="Times New Roman" w:cs="David"/>
      <w:b/>
      <w:bCs/>
      <w:noProof/>
      <w:sz w:val="24"/>
      <w:szCs w:val="24"/>
      <w:lang w:eastAsia="he-IL"/>
    </w:rPr>
  </w:style>
  <w:style w:type="paragraph" w:styleId="NormalWeb">
    <w:name w:val="Normal (Web)"/>
    <w:basedOn w:val="Normal"/>
    <w:uiPriority w:val="99"/>
    <w:semiHidden/>
    <w:unhideWhenUsed/>
    <w:rsid w:val="00EF266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26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01747">
      <w:bodyDiv w:val="1"/>
      <w:marLeft w:val="0"/>
      <w:marRight w:val="0"/>
      <w:marTop w:val="0"/>
      <w:marBottom w:val="0"/>
      <w:divBdr>
        <w:top w:val="none" w:sz="0" w:space="0" w:color="auto"/>
        <w:left w:val="none" w:sz="0" w:space="0" w:color="auto"/>
        <w:bottom w:val="none" w:sz="0" w:space="0" w:color="auto"/>
        <w:right w:val="none" w:sz="0" w:space="0" w:color="auto"/>
      </w:divBdr>
    </w:div>
    <w:div w:id="38830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584</Words>
  <Characters>2923</Characters>
  <Application>Microsoft Office Word</Application>
  <DocSecurity>0</DocSecurity>
  <Lines>24</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כאן כייף</dc:creator>
  <cp:lastModifiedBy>yael bar ilan</cp:lastModifiedBy>
  <cp:revision>4</cp:revision>
  <cp:lastPrinted>2019-02-22T12:15:00Z</cp:lastPrinted>
  <dcterms:created xsi:type="dcterms:W3CDTF">2019-02-22T11:51:00Z</dcterms:created>
  <dcterms:modified xsi:type="dcterms:W3CDTF">2019-02-22T15:18:00Z</dcterms:modified>
</cp:coreProperties>
</file>