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AD" w:rsidRPr="009152B5" w:rsidRDefault="001536AD" w:rsidP="00FA0C53">
      <w:pPr>
        <w:bidi/>
        <w:spacing w:line="240" w:lineRule="auto"/>
        <w:jc w:val="center"/>
        <w:rPr>
          <w:rFonts w:cs="David"/>
          <w:b/>
          <w:bCs/>
          <w:sz w:val="28"/>
          <w:szCs w:val="28"/>
          <w:rtl/>
          <w:lang w:bidi="he-IL"/>
        </w:rPr>
      </w:pPr>
      <w:bookmarkStart w:id="0" w:name="_GoBack"/>
      <w:bookmarkEnd w:id="0"/>
      <w:r>
        <w:rPr>
          <w:rFonts w:cs="David" w:hint="cs"/>
          <w:b/>
          <w:bCs/>
          <w:sz w:val="28"/>
          <w:szCs w:val="28"/>
          <w:rtl/>
          <w:lang w:bidi="he-IL"/>
        </w:rPr>
        <w:t>"</w:t>
      </w:r>
      <w:r w:rsidR="00100CB1">
        <w:rPr>
          <w:rFonts w:cs="David" w:hint="cs"/>
          <w:b/>
          <w:bCs/>
          <w:sz w:val="28"/>
          <w:szCs w:val="28"/>
          <w:rtl/>
          <w:lang w:bidi="he-IL"/>
        </w:rPr>
        <w:t>משפט פלילי בינלאומי</w:t>
      </w:r>
      <w:r>
        <w:rPr>
          <w:rFonts w:cs="David" w:hint="cs"/>
          <w:b/>
          <w:bCs/>
          <w:sz w:val="28"/>
          <w:szCs w:val="28"/>
          <w:rtl/>
          <w:lang w:bidi="he-IL"/>
        </w:rPr>
        <w:t>"</w:t>
      </w:r>
    </w:p>
    <w:p w:rsidR="002B748D" w:rsidRPr="00580AA2" w:rsidRDefault="003862E3" w:rsidP="00580AA2">
      <w:pPr>
        <w:bidi/>
        <w:spacing w:line="240" w:lineRule="auto"/>
        <w:jc w:val="center"/>
        <w:rPr>
          <w:rFonts w:cs="David"/>
          <w:b/>
          <w:bCs/>
          <w:sz w:val="24"/>
          <w:szCs w:val="24"/>
          <w:rtl/>
          <w:lang w:bidi="he-IL"/>
        </w:rPr>
      </w:pPr>
      <w:r w:rsidRPr="00FA0C53">
        <w:rPr>
          <w:rFonts w:ascii="David" w:hAnsi="David" w:cs="David"/>
          <w:b/>
          <w:bCs/>
          <w:sz w:val="24"/>
          <w:szCs w:val="24"/>
          <w:rtl/>
          <w:lang w:bidi="he-IL"/>
        </w:rPr>
        <w:t>(קוד קורס:</w:t>
      </w:r>
      <w:r w:rsidR="00580AA2">
        <w:rPr>
          <w:rFonts w:ascii="David" w:hAnsi="David" w:cs="David" w:hint="cs"/>
          <w:b/>
          <w:bCs/>
          <w:sz w:val="24"/>
          <w:szCs w:val="24"/>
          <w:rtl/>
          <w:lang w:bidi="he-IL"/>
        </w:rPr>
        <w:t xml:space="preserve"> </w:t>
      </w:r>
      <w:r w:rsidR="00580AA2">
        <w:rPr>
          <w:rFonts w:cs="David" w:hint="cs"/>
          <w:b/>
          <w:bCs/>
          <w:sz w:val="24"/>
          <w:szCs w:val="24"/>
          <w:rtl/>
          <w:lang w:bidi="he-IL"/>
        </w:rPr>
        <w:t>1411-7062-30</w:t>
      </w:r>
      <w:r w:rsidRPr="00FA0C53">
        <w:rPr>
          <w:rFonts w:ascii="David" w:hAnsi="David" w:cs="David"/>
          <w:b/>
          <w:bCs/>
          <w:sz w:val="24"/>
          <w:szCs w:val="24"/>
          <w:rtl/>
          <w:lang w:bidi="he-IL"/>
        </w:rPr>
        <w:t>)</w:t>
      </w:r>
    </w:p>
    <w:p w:rsidR="006D6BAD" w:rsidRDefault="001536AD" w:rsidP="002B748D">
      <w:pPr>
        <w:bidi/>
        <w:spacing w:line="240" w:lineRule="auto"/>
        <w:jc w:val="center"/>
        <w:rPr>
          <w:rFonts w:cs="David"/>
          <w:b/>
          <w:bCs/>
          <w:sz w:val="24"/>
          <w:szCs w:val="24"/>
          <w:rtl/>
          <w:lang w:bidi="he-IL"/>
        </w:rPr>
      </w:pPr>
      <w:r>
        <w:rPr>
          <w:rFonts w:cs="David" w:hint="cs"/>
          <w:b/>
          <w:bCs/>
          <w:sz w:val="24"/>
          <w:szCs w:val="24"/>
          <w:rtl/>
          <w:lang w:bidi="he-IL"/>
        </w:rPr>
        <w:t xml:space="preserve">מרצה: </w:t>
      </w:r>
      <w:r w:rsidR="008A3EDB">
        <w:rPr>
          <w:rFonts w:cs="David" w:hint="cs"/>
          <w:b/>
          <w:bCs/>
          <w:sz w:val="24"/>
          <w:szCs w:val="24"/>
          <w:rtl/>
          <w:lang w:bidi="he-IL"/>
        </w:rPr>
        <w:t>פרופ'</w:t>
      </w:r>
      <w:r w:rsidR="006D6BAD" w:rsidRPr="00412CFF">
        <w:rPr>
          <w:rFonts w:cs="David" w:hint="cs"/>
          <w:b/>
          <w:bCs/>
          <w:sz w:val="24"/>
          <w:szCs w:val="24"/>
          <w:rtl/>
          <w:lang w:bidi="he-IL"/>
        </w:rPr>
        <w:t xml:space="preserve"> מוחמד ותד</w:t>
      </w:r>
    </w:p>
    <w:p w:rsidR="002B748D" w:rsidRPr="00412CFF" w:rsidRDefault="002B748D" w:rsidP="002B748D">
      <w:pPr>
        <w:bidi/>
        <w:spacing w:line="240" w:lineRule="auto"/>
        <w:jc w:val="center"/>
        <w:rPr>
          <w:rFonts w:cs="David"/>
          <w:b/>
          <w:bCs/>
          <w:sz w:val="24"/>
          <w:szCs w:val="24"/>
          <w:rtl/>
          <w:lang w:bidi="he-IL"/>
        </w:rPr>
      </w:pPr>
    </w:p>
    <w:p w:rsidR="006D6BAD" w:rsidRPr="00CD7529" w:rsidRDefault="006D6BAD" w:rsidP="008A3EDB">
      <w:pPr>
        <w:bidi/>
        <w:spacing w:line="240" w:lineRule="auto"/>
        <w:jc w:val="both"/>
        <w:rPr>
          <w:rFonts w:cs="David"/>
          <w:sz w:val="24"/>
          <w:szCs w:val="24"/>
          <w:rtl/>
          <w:lang w:bidi="he-IL"/>
        </w:rPr>
      </w:pPr>
      <w:r w:rsidRPr="002805FE">
        <w:rPr>
          <w:rFonts w:cs="David" w:hint="cs"/>
          <w:b/>
          <w:bCs/>
          <w:sz w:val="24"/>
          <w:szCs w:val="24"/>
          <w:u w:val="single"/>
          <w:rtl/>
          <w:lang w:bidi="he-IL"/>
        </w:rPr>
        <w:t>מועד</w:t>
      </w:r>
      <w:r w:rsidRPr="00412CFF">
        <w:rPr>
          <w:rFonts w:cs="David" w:hint="cs"/>
          <w:b/>
          <w:bCs/>
          <w:sz w:val="24"/>
          <w:szCs w:val="24"/>
          <w:rtl/>
          <w:lang w:bidi="he-IL"/>
        </w:rPr>
        <w:t xml:space="preserve">: </w:t>
      </w:r>
      <w:r w:rsidRPr="00CD7529">
        <w:rPr>
          <w:rFonts w:cs="David" w:hint="cs"/>
          <w:sz w:val="24"/>
          <w:szCs w:val="24"/>
          <w:rtl/>
          <w:lang w:bidi="he-IL"/>
        </w:rPr>
        <w:t>א'</w:t>
      </w:r>
      <w:r w:rsidR="009152B5" w:rsidRPr="00CD7529">
        <w:rPr>
          <w:rFonts w:cs="David" w:hint="cs"/>
          <w:sz w:val="24"/>
          <w:szCs w:val="24"/>
          <w:rtl/>
          <w:lang w:bidi="he-IL"/>
        </w:rPr>
        <w:t xml:space="preserve"> (</w:t>
      </w:r>
      <w:r w:rsidR="008A3EDB" w:rsidRPr="00CD7529">
        <w:rPr>
          <w:rFonts w:cs="David" w:hint="cs"/>
          <w:sz w:val="24"/>
          <w:szCs w:val="24"/>
          <w:rtl/>
          <w:lang w:bidi="he-IL"/>
        </w:rPr>
        <w:t>2017/2018</w:t>
      </w:r>
      <w:r w:rsidR="009152B5" w:rsidRPr="00CD7529">
        <w:rPr>
          <w:rFonts w:cs="David" w:hint="cs"/>
          <w:sz w:val="24"/>
          <w:szCs w:val="24"/>
          <w:rtl/>
          <w:lang w:bidi="he-IL"/>
        </w:rPr>
        <w:t>)</w:t>
      </w:r>
      <w:r w:rsidR="008655C0" w:rsidRPr="00CD7529">
        <w:rPr>
          <w:rFonts w:cs="David" w:hint="cs"/>
          <w:sz w:val="24"/>
          <w:szCs w:val="24"/>
          <w:rtl/>
          <w:lang w:bidi="he-IL"/>
        </w:rPr>
        <w:t>.</w:t>
      </w:r>
    </w:p>
    <w:p w:rsidR="008655C0" w:rsidRPr="00CD7529" w:rsidRDefault="008655C0" w:rsidP="008A3EDB">
      <w:pPr>
        <w:bidi/>
        <w:spacing w:line="240" w:lineRule="auto"/>
        <w:jc w:val="both"/>
        <w:rPr>
          <w:rFonts w:cs="David"/>
          <w:sz w:val="24"/>
          <w:szCs w:val="24"/>
          <w:rtl/>
          <w:lang w:bidi="he-IL"/>
        </w:rPr>
      </w:pPr>
      <w:r w:rsidRPr="008655C0">
        <w:rPr>
          <w:rFonts w:cs="David" w:hint="cs"/>
          <w:b/>
          <w:bCs/>
          <w:sz w:val="24"/>
          <w:szCs w:val="24"/>
          <w:u w:val="single"/>
          <w:rtl/>
          <w:lang w:bidi="he-IL"/>
        </w:rPr>
        <w:t>תאריך</w:t>
      </w:r>
      <w:r>
        <w:rPr>
          <w:rFonts w:cs="David" w:hint="cs"/>
          <w:b/>
          <w:bCs/>
          <w:sz w:val="24"/>
          <w:szCs w:val="24"/>
          <w:u w:val="single"/>
          <w:rtl/>
          <w:lang w:bidi="he-IL"/>
        </w:rPr>
        <w:t xml:space="preserve"> ושעה</w:t>
      </w:r>
      <w:r>
        <w:rPr>
          <w:rFonts w:cs="David" w:hint="cs"/>
          <w:b/>
          <w:bCs/>
          <w:sz w:val="24"/>
          <w:szCs w:val="24"/>
          <w:rtl/>
          <w:lang w:bidi="he-IL"/>
        </w:rPr>
        <w:t xml:space="preserve">: </w:t>
      </w:r>
      <w:r w:rsidRPr="00CD7529">
        <w:rPr>
          <w:rFonts w:cs="David" w:hint="cs"/>
          <w:sz w:val="24"/>
          <w:szCs w:val="24"/>
          <w:rtl/>
          <w:lang w:bidi="he-IL"/>
        </w:rPr>
        <w:t xml:space="preserve">יום שלישי, </w:t>
      </w:r>
      <w:r w:rsidR="00FA0C53">
        <w:rPr>
          <w:rFonts w:cs="David" w:hint="cs"/>
          <w:sz w:val="24"/>
          <w:szCs w:val="24"/>
          <w:rtl/>
          <w:lang w:bidi="he-IL"/>
        </w:rPr>
        <w:t>26/6/2018</w:t>
      </w:r>
      <w:r w:rsidRPr="00CD7529">
        <w:rPr>
          <w:rFonts w:cs="David" w:hint="cs"/>
          <w:sz w:val="24"/>
          <w:szCs w:val="24"/>
          <w:rtl/>
          <w:lang w:bidi="he-IL"/>
        </w:rPr>
        <w:t xml:space="preserve">, שעה </w:t>
      </w:r>
      <w:r w:rsidR="00FA0C53">
        <w:rPr>
          <w:rFonts w:cs="David" w:hint="cs"/>
          <w:sz w:val="24"/>
          <w:szCs w:val="24"/>
          <w:rtl/>
          <w:lang w:bidi="he-IL"/>
        </w:rPr>
        <w:t>14:00-16:00</w:t>
      </w:r>
      <w:r w:rsidR="008A3EDB" w:rsidRPr="00CD7529">
        <w:rPr>
          <w:rFonts w:cs="David" w:hint="cs"/>
          <w:sz w:val="24"/>
          <w:szCs w:val="24"/>
          <w:rtl/>
          <w:lang w:bidi="he-IL"/>
        </w:rPr>
        <w:t>.</w:t>
      </w:r>
    </w:p>
    <w:p w:rsidR="00FA0C53" w:rsidRPr="00FA0C53" w:rsidRDefault="006D6BAD" w:rsidP="00FA0C53">
      <w:pPr>
        <w:bidi/>
        <w:spacing w:line="240" w:lineRule="auto"/>
        <w:jc w:val="both"/>
        <w:rPr>
          <w:rFonts w:cs="David"/>
          <w:sz w:val="24"/>
          <w:szCs w:val="24"/>
          <w:rtl/>
          <w:lang w:bidi="he-IL"/>
        </w:rPr>
      </w:pPr>
      <w:r w:rsidRPr="002805FE">
        <w:rPr>
          <w:rFonts w:cs="David" w:hint="cs"/>
          <w:b/>
          <w:bCs/>
          <w:sz w:val="24"/>
          <w:szCs w:val="24"/>
          <w:u w:val="single"/>
          <w:rtl/>
          <w:lang w:bidi="he-IL"/>
        </w:rPr>
        <w:t>שיטת בחינה</w:t>
      </w:r>
      <w:r w:rsidRPr="00412CFF">
        <w:rPr>
          <w:rFonts w:cs="David" w:hint="cs"/>
          <w:b/>
          <w:bCs/>
          <w:sz w:val="24"/>
          <w:szCs w:val="24"/>
          <w:rtl/>
          <w:lang w:bidi="he-IL"/>
        </w:rPr>
        <w:t xml:space="preserve">: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חומר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סגור</w:t>
      </w:r>
      <w:r w:rsidR="00FA0C53" w:rsidRPr="00FA0C53">
        <w:rPr>
          <w:rFonts w:cs="David" w:hint="cs"/>
          <w:sz w:val="24"/>
          <w:szCs w:val="24"/>
          <w:rtl/>
        </w:rPr>
        <w:t xml:space="preserve">.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התלמידים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יורשו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להכניס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עימם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לבחינה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אך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ורק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את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הטקסט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/>
          <w:sz w:val="24"/>
          <w:szCs w:val="24"/>
          <w:rtl/>
        </w:rPr>
        <w:t>–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באנגלית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ו</w:t>
      </w:r>
      <w:r w:rsidR="00FA0C53" w:rsidRPr="00FA0C53">
        <w:rPr>
          <w:rFonts w:cs="David" w:hint="cs"/>
          <w:sz w:val="24"/>
          <w:szCs w:val="24"/>
          <w:rtl/>
        </w:rPr>
        <w:t>/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או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בעברית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/>
          <w:sz w:val="24"/>
          <w:szCs w:val="24"/>
          <w:rtl/>
        </w:rPr>
        <w:t>–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של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חוק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אמנת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רומא</w:t>
      </w:r>
      <w:r w:rsidR="00FA0C53" w:rsidRPr="00FA0C53">
        <w:rPr>
          <w:rFonts w:cs="David" w:hint="cs"/>
          <w:sz w:val="24"/>
          <w:szCs w:val="24"/>
          <w:rtl/>
        </w:rPr>
        <w:t xml:space="preserve">,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ובלבד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כאמור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שאין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על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גבי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הטקסט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הערות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>
        <w:rPr>
          <w:rFonts w:cs="David" w:hint="cs"/>
          <w:sz w:val="24"/>
          <w:szCs w:val="24"/>
          <w:rtl/>
          <w:lang w:bidi="he-IL"/>
        </w:rPr>
        <w:t>מ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ל</w:t>
      </w:r>
      <w:r w:rsidR="00FA0C53">
        <w:rPr>
          <w:rFonts w:cs="David" w:hint="cs"/>
          <w:sz w:val="24"/>
          <w:szCs w:val="24"/>
          <w:rtl/>
          <w:lang w:bidi="he-IL"/>
        </w:rPr>
        <w:t>ב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ד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הטקסט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המקורי</w:t>
      </w:r>
      <w:r w:rsidR="00FA0C53" w:rsidRPr="00FA0C53">
        <w:rPr>
          <w:rFonts w:cs="David" w:hint="cs"/>
          <w:sz w:val="24"/>
          <w:szCs w:val="24"/>
          <w:rtl/>
        </w:rPr>
        <w:t xml:space="preserve"> </w:t>
      </w:r>
      <w:r w:rsidR="00FA0C53" w:rsidRPr="00FA0C53">
        <w:rPr>
          <w:rFonts w:cs="David" w:hint="cs"/>
          <w:sz w:val="24"/>
          <w:szCs w:val="24"/>
          <w:rtl/>
          <w:lang w:bidi="he-IL"/>
        </w:rPr>
        <w:t>עצמו</w:t>
      </w:r>
      <w:r w:rsidR="00FA0C53" w:rsidRPr="00FA0C53">
        <w:rPr>
          <w:rFonts w:cs="David" w:hint="cs"/>
          <w:sz w:val="24"/>
          <w:szCs w:val="24"/>
          <w:rtl/>
        </w:rPr>
        <w:t>.</w:t>
      </w:r>
    </w:p>
    <w:p w:rsidR="006D6BAD" w:rsidRPr="00CD7529" w:rsidRDefault="006D6BAD" w:rsidP="008A3EDB">
      <w:pPr>
        <w:bidi/>
        <w:spacing w:line="240" w:lineRule="auto"/>
        <w:jc w:val="both"/>
        <w:rPr>
          <w:rFonts w:cs="David"/>
          <w:sz w:val="24"/>
          <w:szCs w:val="24"/>
          <w:rtl/>
          <w:lang w:bidi="he-IL"/>
        </w:rPr>
      </w:pPr>
      <w:r w:rsidRPr="002805FE">
        <w:rPr>
          <w:rFonts w:cs="David" w:hint="cs"/>
          <w:b/>
          <w:bCs/>
          <w:sz w:val="24"/>
          <w:szCs w:val="24"/>
          <w:u w:val="single"/>
          <w:rtl/>
          <w:lang w:bidi="he-IL"/>
        </w:rPr>
        <w:t>משקל הבחינה</w:t>
      </w:r>
      <w:r w:rsidRPr="00412CFF">
        <w:rPr>
          <w:rFonts w:cs="David" w:hint="cs"/>
          <w:b/>
          <w:bCs/>
          <w:sz w:val="24"/>
          <w:szCs w:val="24"/>
          <w:rtl/>
          <w:lang w:bidi="he-IL"/>
        </w:rPr>
        <w:t>:</w:t>
      </w:r>
      <w:r w:rsidRPr="00CD7529">
        <w:rPr>
          <w:rFonts w:cs="David" w:hint="cs"/>
          <w:sz w:val="24"/>
          <w:szCs w:val="24"/>
          <w:rtl/>
          <w:lang w:bidi="he-IL"/>
        </w:rPr>
        <w:t xml:space="preserve"> </w:t>
      </w:r>
      <w:r w:rsidR="008A3EDB" w:rsidRPr="00CD7529">
        <w:rPr>
          <w:rFonts w:cs="David" w:hint="cs"/>
          <w:sz w:val="24"/>
          <w:szCs w:val="24"/>
          <w:rtl/>
          <w:lang w:bidi="he-IL"/>
        </w:rPr>
        <w:t>100%.</w:t>
      </w:r>
    </w:p>
    <w:p w:rsidR="005D6BEE" w:rsidRPr="00CD7529" w:rsidRDefault="005D6BEE" w:rsidP="00100CB1">
      <w:pPr>
        <w:bidi/>
        <w:spacing w:line="240" w:lineRule="auto"/>
        <w:jc w:val="both"/>
        <w:rPr>
          <w:rFonts w:cs="David"/>
          <w:sz w:val="24"/>
          <w:szCs w:val="24"/>
          <w:rtl/>
          <w:lang w:bidi="he-IL"/>
        </w:rPr>
      </w:pPr>
      <w:r w:rsidRPr="002805FE">
        <w:rPr>
          <w:rFonts w:cs="David" w:hint="cs"/>
          <w:b/>
          <w:bCs/>
          <w:sz w:val="24"/>
          <w:szCs w:val="24"/>
          <w:u w:val="single"/>
          <w:rtl/>
          <w:lang w:bidi="he-IL"/>
        </w:rPr>
        <w:t>משך הבחינה</w:t>
      </w:r>
      <w:r>
        <w:rPr>
          <w:rFonts w:cs="David" w:hint="cs"/>
          <w:b/>
          <w:bCs/>
          <w:sz w:val="24"/>
          <w:szCs w:val="24"/>
          <w:rtl/>
          <w:lang w:bidi="he-IL"/>
        </w:rPr>
        <w:t xml:space="preserve">: </w:t>
      </w:r>
      <w:r w:rsidR="00100CB1" w:rsidRPr="00CD7529">
        <w:rPr>
          <w:rFonts w:cs="David" w:hint="cs"/>
          <w:sz w:val="24"/>
          <w:szCs w:val="24"/>
          <w:rtl/>
          <w:lang w:bidi="he-IL"/>
        </w:rPr>
        <w:t>שעתיים</w:t>
      </w:r>
      <w:r w:rsidRPr="00CD7529">
        <w:rPr>
          <w:rFonts w:cs="David" w:hint="cs"/>
          <w:sz w:val="24"/>
          <w:szCs w:val="24"/>
          <w:rtl/>
          <w:lang w:bidi="he-IL"/>
        </w:rPr>
        <w:t xml:space="preserve">. לא תינתן שום הארכה </w:t>
      </w:r>
      <w:r w:rsidR="00737B0E" w:rsidRPr="00CD7529">
        <w:rPr>
          <w:rFonts w:cs="David" w:hint="cs"/>
          <w:sz w:val="24"/>
          <w:szCs w:val="24"/>
          <w:rtl/>
          <w:lang w:bidi="he-IL"/>
        </w:rPr>
        <w:t>פרט</w:t>
      </w:r>
      <w:r w:rsidRPr="00CD7529">
        <w:rPr>
          <w:rFonts w:cs="David" w:hint="cs"/>
          <w:sz w:val="24"/>
          <w:szCs w:val="24"/>
          <w:rtl/>
          <w:lang w:bidi="he-IL"/>
        </w:rPr>
        <w:t xml:space="preserve"> למחזיקים באישור </w:t>
      </w:r>
      <w:r w:rsidR="00F1214D" w:rsidRPr="00CD7529">
        <w:rPr>
          <w:rFonts w:cs="David" w:hint="cs"/>
          <w:sz w:val="24"/>
          <w:szCs w:val="24"/>
          <w:rtl/>
          <w:lang w:bidi="he-IL"/>
        </w:rPr>
        <w:t>מיוחד</w:t>
      </w:r>
      <w:r w:rsidRPr="00CD7529">
        <w:rPr>
          <w:rFonts w:cs="David" w:hint="cs"/>
          <w:sz w:val="24"/>
          <w:szCs w:val="24"/>
          <w:rtl/>
          <w:lang w:bidi="he-IL"/>
        </w:rPr>
        <w:t>.</w:t>
      </w:r>
    </w:p>
    <w:p w:rsidR="007942BA" w:rsidRDefault="007942BA" w:rsidP="007942BA">
      <w:pPr>
        <w:bidi/>
        <w:spacing w:line="240" w:lineRule="auto"/>
        <w:jc w:val="both"/>
        <w:rPr>
          <w:rFonts w:cs="David"/>
          <w:b/>
          <w:bCs/>
          <w:sz w:val="24"/>
          <w:szCs w:val="24"/>
          <w:lang w:bidi="he-IL"/>
        </w:rPr>
      </w:pPr>
      <w:r>
        <w:rPr>
          <w:rFonts w:cs="David"/>
          <w:b/>
          <w:bCs/>
          <w:sz w:val="24"/>
          <w:szCs w:val="24"/>
          <w:u w:val="single"/>
          <w:rtl/>
          <w:lang w:bidi="he-IL"/>
        </w:rPr>
        <w:t>הוראות נוספות</w:t>
      </w:r>
      <w:r>
        <w:rPr>
          <w:rFonts w:cs="David"/>
          <w:b/>
          <w:bCs/>
          <w:sz w:val="24"/>
          <w:szCs w:val="24"/>
          <w:rtl/>
          <w:lang w:bidi="he-IL"/>
        </w:rPr>
        <w:t xml:space="preserve">: </w:t>
      </w:r>
    </w:p>
    <w:p w:rsidR="007942BA" w:rsidRPr="00CD7529" w:rsidRDefault="007942BA" w:rsidP="003862E3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cs="David"/>
          <w:sz w:val="24"/>
          <w:szCs w:val="24"/>
          <w:rtl/>
          <w:lang w:bidi="he-IL"/>
        </w:rPr>
      </w:pPr>
      <w:r w:rsidRPr="00CD7529">
        <w:rPr>
          <w:rFonts w:cs="David"/>
          <w:sz w:val="24"/>
          <w:szCs w:val="24"/>
          <w:rtl/>
          <w:lang w:bidi="he-IL"/>
        </w:rPr>
        <w:t xml:space="preserve">את תשובתכם יש להעלות, בכתב ברור, על מחברת בחינה אשר תקבלו </w:t>
      </w:r>
      <w:r w:rsidR="003862E3">
        <w:rPr>
          <w:rFonts w:cs="David" w:hint="cs"/>
          <w:sz w:val="24"/>
          <w:szCs w:val="24"/>
          <w:rtl/>
          <w:lang w:bidi="he-IL"/>
        </w:rPr>
        <w:t>מהמשגיחים</w:t>
      </w:r>
      <w:r w:rsidRPr="00CD7529">
        <w:rPr>
          <w:rFonts w:cs="David"/>
          <w:sz w:val="24"/>
          <w:szCs w:val="24"/>
          <w:rtl/>
          <w:lang w:bidi="he-IL"/>
        </w:rPr>
        <w:t xml:space="preserve">. תשובתכם צריכה להיות מנומקת אך ממוקדת; בבחינת קצר, קולע, ולעניין. </w:t>
      </w:r>
      <w:r w:rsidRPr="00CD7529">
        <w:rPr>
          <w:rFonts w:cs="David"/>
          <w:sz w:val="24"/>
          <w:szCs w:val="24"/>
          <w:u w:val="single"/>
          <w:rtl/>
          <w:lang w:bidi="he-IL"/>
        </w:rPr>
        <w:t>כל ניסיון למסע דייג (</w:t>
      </w:r>
      <w:r w:rsidRPr="00CD7529">
        <w:rPr>
          <w:rFonts w:asciiTheme="majorBidi" w:hAnsiTheme="majorBidi" w:cstheme="majorBidi"/>
          <w:sz w:val="24"/>
          <w:szCs w:val="24"/>
          <w:u w:val="single"/>
        </w:rPr>
        <w:t>Fishing</w:t>
      </w:r>
      <w:r w:rsidRPr="00CD7529">
        <w:rPr>
          <w:rFonts w:cs="David"/>
          <w:sz w:val="24"/>
          <w:szCs w:val="24"/>
          <w:u w:val="single"/>
          <w:rtl/>
          <w:lang w:bidi="he-IL"/>
        </w:rPr>
        <w:t>), יתקבל בדחייה ובפסילת התשובה כולה</w:t>
      </w:r>
      <w:r w:rsidRPr="00CD7529">
        <w:rPr>
          <w:rFonts w:cs="David"/>
          <w:sz w:val="24"/>
          <w:szCs w:val="24"/>
          <w:rtl/>
          <w:lang w:bidi="he-IL"/>
        </w:rPr>
        <w:t xml:space="preserve">. </w:t>
      </w:r>
    </w:p>
    <w:p w:rsidR="007942BA" w:rsidRPr="00CD7529" w:rsidRDefault="007942BA" w:rsidP="008A3EDB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cs="David"/>
          <w:sz w:val="24"/>
          <w:szCs w:val="24"/>
          <w:lang w:bidi="he-IL"/>
        </w:rPr>
      </w:pPr>
      <w:r w:rsidRPr="00CD7529">
        <w:rPr>
          <w:rFonts w:cs="David"/>
          <w:sz w:val="24"/>
          <w:szCs w:val="24"/>
          <w:rtl/>
          <w:lang w:bidi="he-IL"/>
        </w:rPr>
        <w:t xml:space="preserve">תשובתכם צריכה להיות מבוססת על חומר ההרצאות, לרבות </w:t>
      </w:r>
      <w:r w:rsidR="008A3EDB" w:rsidRPr="00CD7529">
        <w:rPr>
          <w:rFonts w:cs="David" w:hint="cs"/>
          <w:sz w:val="24"/>
          <w:szCs w:val="24"/>
          <w:rtl/>
          <w:lang w:bidi="he-IL"/>
        </w:rPr>
        <w:t>חומרי הקריאה וחוק אמנת רומא.</w:t>
      </w:r>
    </w:p>
    <w:p w:rsidR="007942BA" w:rsidRDefault="007942BA" w:rsidP="002E78F7">
      <w:pPr>
        <w:bidi/>
        <w:jc w:val="both"/>
        <w:rPr>
          <w:rFonts w:cs="David"/>
          <w:b/>
          <w:bCs/>
          <w:sz w:val="24"/>
          <w:szCs w:val="24"/>
          <w:u w:val="single"/>
          <w:rtl/>
          <w:lang w:bidi="he-IL"/>
        </w:rPr>
      </w:pPr>
    </w:p>
    <w:p w:rsidR="00FE3268" w:rsidRPr="002805FE" w:rsidRDefault="00A3778E" w:rsidP="008A3EDB">
      <w:pPr>
        <w:bidi/>
        <w:jc w:val="both"/>
        <w:rPr>
          <w:rFonts w:cs="David"/>
          <w:b/>
          <w:bCs/>
          <w:sz w:val="24"/>
          <w:szCs w:val="24"/>
          <w:u w:val="single"/>
          <w:rtl/>
          <w:lang w:bidi="he-IL"/>
        </w:rPr>
      </w:pPr>
      <w:r>
        <w:rPr>
          <w:rFonts w:cs="David" w:hint="cs"/>
          <w:b/>
          <w:bCs/>
          <w:sz w:val="24"/>
          <w:szCs w:val="24"/>
          <w:u w:val="single"/>
          <w:rtl/>
          <w:lang w:bidi="he-IL"/>
        </w:rPr>
        <w:t>שאלה</w:t>
      </w:r>
      <w:r w:rsidR="00FE3268" w:rsidRPr="002805FE">
        <w:rPr>
          <w:rFonts w:cs="David" w:hint="cs"/>
          <w:b/>
          <w:bCs/>
          <w:sz w:val="24"/>
          <w:szCs w:val="24"/>
          <w:u w:val="single"/>
          <w:rtl/>
          <w:lang w:bidi="he-IL"/>
        </w:rPr>
        <w:t xml:space="preserve"> </w:t>
      </w:r>
      <w:r w:rsidR="00D76C1B">
        <w:rPr>
          <w:rFonts w:cs="David" w:hint="cs"/>
          <w:b/>
          <w:bCs/>
          <w:sz w:val="24"/>
          <w:szCs w:val="24"/>
          <w:u w:val="single"/>
          <w:rtl/>
          <w:lang w:bidi="he-IL"/>
        </w:rPr>
        <w:t>ראשונה</w:t>
      </w:r>
      <w:r w:rsidR="00FE3268" w:rsidRPr="002805FE">
        <w:rPr>
          <w:rFonts w:cs="David" w:hint="cs"/>
          <w:b/>
          <w:bCs/>
          <w:sz w:val="24"/>
          <w:szCs w:val="24"/>
          <w:u w:val="single"/>
          <w:rtl/>
          <w:lang w:bidi="he-IL"/>
        </w:rPr>
        <w:t xml:space="preserve"> (</w:t>
      </w:r>
      <w:r w:rsidR="00FA0C53">
        <w:rPr>
          <w:rFonts w:cs="David" w:hint="cs"/>
          <w:b/>
          <w:bCs/>
          <w:sz w:val="24"/>
          <w:szCs w:val="24"/>
          <w:u w:val="single"/>
          <w:rtl/>
          <w:lang w:bidi="he-IL"/>
        </w:rPr>
        <w:t>20</w:t>
      </w:r>
      <w:r w:rsidR="00FE3268" w:rsidRPr="002805FE">
        <w:rPr>
          <w:rFonts w:cs="David" w:hint="cs"/>
          <w:b/>
          <w:bCs/>
          <w:sz w:val="24"/>
          <w:szCs w:val="24"/>
          <w:u w:val="single"/>
          <w:rtl/>
          <w:lang w:bidi="he-IL"/>
        </w:rPr>
        <w:t xml:space="preserve"> נקודות)</w:t>
      </w:r>
    </w:p>
    <w:p w:rsidR="008A3EDB" w:rsidRDefault="008A3EDB" w:rsidP="002D6921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CD7529">
        <w:rPr>
          <w:rFonts w:cs="David" w:hint="cs"/>
          <w:sz w:val="24"/>
          <w:szCs w:val="24"/>
          <w:rtl/>
          <w:lang w:bidi="he-IL"/>
        </w:rPr>
        <w:t xml:space="preserve">הציגו טיעונים </w:t>
      </w:r>
      <w:r w:rsidRPr="00F32044">
        <w:rPr>
          <w:rFonts w:cs="David" w:hint="cs"/>
          <w:b/>
          <w:bCs/>
          <w:sz w:val="24"/>
          <w:szCs w:val="24"/>
          <w:u w:val="single"/>
          <w:rtl/>
          <w:lang w:bidi="he-IL"/>
        </w:rPr>
        <w:t>בעד ונגד</w:t>
      </w:r>
      <w:r w:rsidRPr="00CD7529">
        <w:rPr>
          <w:rFonts w:cs="David" w:hint="cs"/>
          <w:sz w:val="24"/>
          <w:szCs w:val="24"/>
          <w:rtl/>
          <w:lang w:bidi="he-IL"/>
        </w:rPr>
        <w:t xml:space="preserve"> </w:t>
      </w:r>
      <w:r w:rsidR="002D6921">
        <w:rPr>
          <w:rFonts w:cs="David" w:hint="cs"/>
          <w:sz w:val="24"/>
          <w:szCs w:val="24"/>
          <w:rtl/>
          <w:lang w:bidi="he-IL"/>
        </w:rPr>
        <w:t>ביטול הרעיון בדבר משפט פלילי בינלאומי, ובהתאם ביטול בית-הדין הפלילי בהאג</w:t>
      </w:r>
      <w:r w:rsidRPr="00CD7529">
        <w:rPr>
          <w:rFonts w:cs="David" w:hint="cs"/>
          <w:sz w:val="24"/>
          <w:szCs w:val="24"/>
          <w:rtl/>
          <w:lang w:bidi="he-IL"/>
        </w:rPr>
        <w:t>.</w:t>
      </w:r>
    </w:p>
    <w:p w:rsidR="00420028" w:rsidRDefault="00420028" w:rsidP="00420028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420028">
        <w:rPr>
          <w:rFonts w:cs="David" w:hint="cs"/>
          <w:b/>
          <w:bCs/>
          <w:sz w:val="24"/>
          <w:szCs w:val="24"/>
          <w:u w:val="single"/>
          <w:rtl/>
          <w:lang w:bidi="he-IL"/>
        </w:rPr>
        <w:t>בין היתר</w:t>
      </w:r>
      <w:r>
        <w:rPr>
          <w:rFonts w:cs="David" w:hint="cs"/>
          <w:sz w:val="24"/>
          <w:szCs w:val="24"/>
          <w:rtl/>
          <w:lang w:bidi="he-IL"/>
        </w:rPr>
        <w:t xml:space="preserve"> יש לעמוד על הטיעונים הבאים:</w:t>
      </w:r>
    </w:p>
    <w:p w:rsidR="00420028" w:rsidRDefault="00420028" w:rsidP="00420028">
      <w:pPr>
        <w:bidi/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  <w:lang w:bidi="he-IL"/>
        </w:rPr>
      </w:pPr>
      <w:r w:rsidRPr="00420028">
        <w:rPr>
          <w:rFonts w:cs="David" w:hint="cs"/>
          <w:b/>
          <w:bCs/>
          <w:sz w:val="24"/>
          <w:szCs w:val="24"/>
          <w:u w:val="single"/>
          <w:rtl/>
          <w:lang w:bidi="he-IL"/>
        </w:rPr>
        <w:t>טיעוני בעד</w:t>
      </w:r>
    </w:p>
    <w:p w:rsidR="00420028" w:rsidRDefault="00420028" w:rsidP="00420028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פוליטיזצי</w:t>
      </w:r>
      <w:r>
        <w:rPr>
          <w:rFonts w:cs="David" w:hint="eastAsia"/>
          <w:sz w:val="24"/>
          <w:szCs w:val="24"/>
          <w:rtl/>
          <w:lang w:bidi="he-IL"/>
        </w:rPr>
        <w:t>ה</w:t>
      </w:r>
      <w:r>
        <w:rPr>
          <w:rFonts w:cs="David" w:hint="cs"/>
          <w:sz w:val="24"/>
          <w:szCs w:val="24"/>
          <w:rtl/>
          <w:lang w:bidi="he-IL"/>
        </w:rPr>
        <w:t xml:space="preserve"> של המשפט.</w:t>
      </w:r>
    </w:p>
    <w:p w:rsidR="00420028" w:rsidRDefault="00420028" w:rsidP="00420028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קשיי אכיפה.</w:t>
      </w:r>
    </w:p>
    <w:p w:rsidR="00420028" w:rsidRDefault="00420028" w:rsidP="00420028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David" w:hint="cs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אכיפה סלקטיבית, המתמקדת במדינות אפריקאיות.</w:t>
      </w:r>
    </w:p>
    <w:p w:rsidR="00420028" w:rsidRDefault="00420028" w:rsidP="00420028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David" w:hint="cs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כוח עצום בידי התובע הכללי.</w:t>
      </w:r>
    </w:p>
    <w:p w:rsidR="00420028" w:rsidRDefault="00420028" w:rsidP="00420028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David" w:hint="cs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כוח לא מבוטל בידי מועצת הביטחון.</w:t>
      </w:r>
    </w:p>
    <w:p w:rsidR="00420028" w:rsidRDefault="00420028" w:rsidP="00420028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David" w:hint="cs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היעדר בסיס מושגי ברור ביחס להגדרת העבירות.</w:t>
      </w:r>
    </w:p>
    <w:p w:rsidR="00420028" w:rsidRDefault="00420028" w:rsidP="00420028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היעדר הכרעה בתחרות בין המשפט הקונטיננטלי לבין המשפט </w:t>
      </w:r>
      <w:proofErr w:type="spellStart"/>
      <w:r>
        <w:rPr>
          <w:rFonts w:cs="David" w:hint="cs"/>
          <w:sz w:val="24"/>
          <w:szCs w:val="24"/>
          <w:rtl/>
          <w:lang w:bidi="he-IL"/>
        </w:rPr>
        <w:t>האנגלו</w:t>
      </w:r>
      <w:proofErr w:type="spellEnd"/>
      <w:r>
        <w:rPr>
          <w:rFonts w:cs="David" w:hint="cs"/>
          <w:sz w:val="24"/>
          <w:szCs w:val="24"/>
          <w:rtl/>
          <w:lang w:bidi="he-IL"/>
        </w:rPr>
        <w:t>-אמריקאי; דבר המשפיע על חוסר הקוהרנטיות של התפתחות המשפט הפלילי הבינלאומי.</w:t>
      </w:r>
    </w:p>
    <w:p w:rsidR="00420028" w:rsidRPr="00420028" w:rsidRDefault="00420028" w:rsidP="00420028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פגיעה בריבונות המשפטית של מדינות.</w:t>
      </w:r>
    </w:p>
    <w:p w:rsidR="00420028" w:rsidRDefault="00420028" w:rsidP="00420028">
      <w:pPr>
        <w:bidi/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  <w:lang w:bidi="he-IL"/>
        </w:rPr>
      </w:pPr>
      <w:r>
        <w:rPr>
          <w:rFonts w:cs="David" w:hint="cs"/>
          <w:b/>
          <w:bCs/>
          <w:sz w:val="24"/>
          <w:szCs w:val="24"/>
          <w:u w:val="single"/>
          <w:rtl/>
          <w:lang w:bidi="he-IL"/>
        </w:rPr>
        <w:t>טיעוני נגד</w:t>
      </w:r>
    </w:p>
    <w:p w:rsidR="00420028" w:rsidRPr="00420028" w:rsidRDefault="00420028" w:rsidP="00420028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cs="David" w:hint="cs"/>
          <w:sz w:val="24"/>
          <w:szCs w:val="24"/>
          <w:u w:val="single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lastRenderedPageBreak/>
        <w:t>העמדת אנשים (בד"כ ראשי מדינות) לדין פלילי הוא ביטוי לגינוי העולמי למעשי הזוועה נשוא ההרשעה; דבר הבא לידי ביטוי גם בעונש פלילי.</w:t>
      </w:r>
    </w:p>
    <w:p w:rsidR="00420028" w:rsidRPr="00420028" w:rsidRDefault="00420028" w:rsidP="00420028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cs="David" w:hint="cs"/>
          <w:sz w:val="24"/>
          <w:szCs w:val="24"/>
          <w:u w:val="single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הרתעה אינדיבידואלית והרתעה כללית שמא עבירות חמודות דומות תשננה.</w:t>
      </w:r>
    </w:p>
    <w:p w:rsidR="00420028" w:rsidRDefault="00420028" w:rsidP="00420028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  <w:r w:rsidRPr="00420028">
        <w:rPr>
          <w:rFonts w:cs="David" w:hint="cs"/>
          <w:sz w:val="24"/>
          <w:szCs w:val="24"/>
          <w:rtl/>
          <w:lang w:bidi="he-IL"/>
        </w:rPr>
        <w:t>הצ</w:t>
      </w:r>
      <w:r>
        <w:rPr>
          <w:rFonts w:cs="David" w:hint="cs"/>
          <w:sz w:val="24"/>
          <w:szCs w:val="24"/>
          <w:rtl/>
          <w:lang w:bidi="he-IL"/>
        </w:rPr>
        <w:t>בת סדר משפטי פלילי עולמי, על-פי סטנדרט אחיד כפי שהוא מוצג בחוק אמנת רומא.</w:t>
      </w:r>
    </w:p>
    <w:p w:rsidR="00420028" w:rsidRPr="00420028" w:rsidRDefault="00420028" w:rsidP="00420028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מעודד שיתוף פעולה בין מדינות לצורך אכיפת הסדר המשפט הפלילי.</w:t>
      </w:r>
    </w:p>
    <w:p w:rsidR="00D76C1B" w:rsidRPr="002805FE" w:rsidRDefault="00D76C1B" w:rsidP="00FA0C53">
      <w:pPr>
        <w:bidi/>
        <w:jc w:val="both"/>
        <w:rPr>
          <w:rFonts w:cs="David"/>
          <w:b/>
          <w:bCs/>
          <w:sz w:val="24"/>
          <w:szCs w:val="24"/>
          <w:u w:val="single"/>
          <w:rtl/>
          <w:lang w:bidi="he-IL"/>
        </w:rPr>
      </w:pPr>
      <w:r w:rsidRPr="002805FE">
        <w:rPr>
          <w:rFonts w:cs="David" w:hint="cs"/>
          <w:b/>
          <w:bCs/>
          <w:sz w:val="24"/>
          <w:szCs w:val="24"/>
          <w:u w:val="single"/>
          <w:rtl/>
          <w:lang w:bidi="he-IL"/>
        </w:rPr>
        <w:t xml:space="preserve">שאלה </w:t>
      </w:r>
      <w:r>
        <w:rPr>
          <w:rFonts w:cs="David" w:hint="cs"/>
          <w:b/>
          <w:bCs/>
          <w:sz w:val="24"/>
          <w:szCs w:val="24"/>
          <w:u w:val="single"/>
          <w:rtl/>
          <w:lang w:bidi="he-IL"/>
        </w:rPr>
        <w:t>שנייה</w:t>
      </w:r>
      <w:r w:rsidRPr="002805FE">
        <w:rPr>
          <w:rFonts w:cs="David" w:hint="cs"/>
          <w:b/>
          <w:bCs/>
          <w:sz w:val="24"/>
          <w:szCs w:val="24"/>
          <w:u w:val="single"/>
          <w:rtl/>
          <w:lang w:bidi="he-IL"/>
        </w:rPr>
        <w:t xml:space="preserve"> (</w:t>
      </w:r>
      <w:r w:rsidR="00FA0C53">
        <w:rPr>
          <w:rFonts w:cs="David" w:hint="cs"/>
          <w:b/>
          <w:bCs/>
          <w:sz w:val="24"/>
          <w:szCs w:val="24"/>
          <w:u w:val="single"/>
          <w:rtl/>
          <w:lang w:bidi="he-IL"/>
        </w:rPr>
        <w:t>60</w:t>
      </w:r>
      <w:r w:rsidRPr="002805FE">
        <w:rPr>
          <w:rFonts w:cs="David" w:hint="cs"/>
          <w:b/>
          <w:bCs/>
          <w:sz w:val="24"/>
          <w:szCs w:val="24"/>
          <w:u w:val="single"/>
          <w:rtl/>
          <w:lang w:bidi="he-IL"/>
        </w:rPr>
        <w:t xml:space="preserve"> נקודות)</w:t>
      </w:r>
    </w:p>
    <w:p w:rsidR="00CD7529" w:rsidRDefault="00CD7529" w:rsidP="00CD7529">
      <w:pPr>
        <w:bidi/>
        <w:jc w:val="both"/>
        <w:rPr>
          <w:rFonts w:cs="David"/>
          <w:b/>
          <w:bCs/>
          <w:sz w:val="24"/>
          <w:szCs w:val="24"/>
          <w:rtl/>
          <w:lang w:bidi="he-IL"/>
        </w:rPr>
      </w:pPr>
      <w:proofErr w:type="spellStart"/>
      <w:r w:rsidRPr="00CD7529">
        <w:rPr>
          <w:rFonts w:cs="David" w:hint="cs"/>
          <w:sz w:val="24"/>
          <w:szCs w:val="24"/>
          <w:rtl/>
          <w:lang w:bidi="he-IL"/>
        </w:rPr>
        <w:t>רונלד</w:t>
      </w:r>
      <w:proofErr w:type="spellEnd"/>
      <w:r w:rsidRPr="00CD7529">
        <w:rPr>
          <w:rFonts w:cs="David" w:hint="cs"/>
          <w:sz w:val="24"/>
          <w:szCs w:val="24"/>
          <w:rtl/>
          <w:lang w:bidi="he-IL"/>
        </w:rPr>
        <w:t xml:space="preserve">, ג'ון, </w:t>
      </w:r>
      <w:proofErr w:type="spellStart"/>
      <w:r w:rsidRPr="00CD7529">
        <w:rPr>
          <w:rFonts w:cs="David" w:hint="cs"/>
          <w:sz w:val="24"/>
          <w:szCs w:val="24"/>
          <w:rtl/>
          <w:lang w:bidi="he-IL"/>
        </w:rPr>
        <w:t>ואדוורדס</w:t>
      </w:r>
      <w:proofErr w:type="spellEnd"/>
      <w:r w:rsidRPr="00CD7529">
        <w:rPr>
          <w:rFonts w:cs="David" w:hint="cs"/>
          <w:sz w:val="24"/>
          <w:szCs w:val="24"/>
          <w:rtl/>
          <w:lang w:bidi="he-IL"/>
        </w:rPr>
        <w:t xml:space="preserve">, הם חיילים אמריקאים המשרתים בעיראק; תפקידם היה לשמור על מאגרי המזון של הצבא האמריקאי. ביום בהיר אחד, </w:t>
      </w:r>
      <w:r w:rsidRPr="003862E3">
        <w:rPr>
          <w:rFonts w:cs="David" w:hint="cs"/>
          <w:sz w:val="24"/>
          <w:szCs w:val="24"/>
          <w:u w:val="single"/>
          <w:rtl/>
          <w:lang w:bidi="he-IL"/>
        </w:rPr>
        <w:t>כל 30 הגברים</w:t>
      </w:r>
      <w:r w:rsidRPr="00CD7529">
        <w:rPr>
          <w:rFonts w:cs="David" w:hint="cs"/>
          <w:sz w:val="24"/>
          <w:szCs w:val="24"/>
          <w:rtl/>
          <w:lang w:bidi="he-IL"/>
        </w:rPr>
        <w:t xml:space="preserve"> של קבוצת </w:t>
      </w:r>
      <w:proofErr w:type="spellStart"/>
      <w:r w:rsidRPr="00CD7529">
        <w:rPr>
          <w:rFonts w:cs="David" w:hint="cs"/>
          <w:sz w:val="24"/>
          <w:szCs w:val="24"/>
          <w:rtl/>
          <w:lang w:bidi="he-IL"/>
        </w:rPr>
        <w:t>הכורדיסטאנים</w:t>
      </w:r>
      <w:proofErr w:type="spellEnd"/>
      <w:r w:rsidRPr="00CD7529">
        <w:rPr>
          <w:rFonts w:cs="David" w:hint="cs"/>
          <w:sz w:val="24"/>
          <w:szCs w:val="24"/>
          <w:rtl/>
          <w:lang w:bidi="he-IL"/>
        </w:rPr>
        <w:t xml:space="preserve"> </w:t>
      </w:r>
      <w:r w:rsidR="00FA0C53" w:rsidRPr="00CD7529">
        <w:rPr>
          <w:rFonts w:cs="David" w:hint="cs"/>
          <w:sz w:val="24"/>
          <w:szCs w:val="24"/>
          <w:rtl/>
          <w:lang w:bidi="he-IL"/>
        </w:rPr>
        <w:t>העיראקים</w:t>
      </w:r>
      <w:r w:rsidRPr="00CD7529">
        <w:rPr>
          <w:rFonts w:cs="David" w:hint="cs"/>
          <w:sz w:val="24"/>
          <w:szCs w:val="24"/>
          <w:rtl/>
          <w:lang w:bidi="he-IL"/>
        </w:rPr>
        <w:t xml:space="preserve"> תקפו את המחנה בו שמור מאגר המזון האמור, כדי לגנוב את המזון ולהביאו למשפחותיהם; שאם לא כן ימותו כל </w:t>
      </w:r>
      <w:proofErr w:type="spellStart"/>
      <w:r w:rsidRPr="00CD7529">
        <w:rPr>
          <w:rFonts w:cs="David" w:hint="cs"/>
          <w:sz w:val="24"/>
          <w:szCs w:val="24"/>
          <w:rtl/>
          <w:lang w:bidi="he-IL"/>
        </w:rPr>
        <w:t>הכורדיסאנים</w:t>
      </w:r>
      <w:proofErr w:type="spellEnd"/>
      <w:r w:rsidRPr="00CD7529">
        <w:rPr>
          <w:rFonts w:cs="David" w:hint="cs"/>
          <w:sz w:val="24"/>
          <w:szCs w:val="24"/>
          <w:rtl/>
          <w:lang w:bidi="he-IL"/>
        </w:rPr>
        <w:t xml:space="preserve"> מרעב. </w:t>
      </w:r>
      <w:r w:rsidRPr="00CD7529">
        <w:rPr>
          <w:rFonts w:cs="David" w:hint="cs"/>
          <w:sz w:val="24"/>
          <w:szCs w:val="24"/>
          <w:u w:val="single"/>
          <w:rtl/>
          <w:lang w:bidi="he-IL"/>
        </w:rPr>
        <w:t>התוקפים לא איימו על חיי החיילים בשום דרך שהיא</w:t>
      </w:r>
      <w:r w:rsidRPr="00CD7529">
        <w:rPr>
          <w:rFonts w:cs="David" w:hint="cs"/>
          <w:sz w:val="24"/>
          <w:szCs w:val="24"/>
          <w:rtl/>
          <w:lang w:bidi="he-IL"/>
        </w:rPr>
        <w:t xml:space="preserve">. זו הייתה המתקפה ה- 20 במספר, על-ידי אותה קבוצה של 30 הגברים האמורים לאותו מאגר מזון. </w:t>
      </w:r>
      <w:proofErr w:type="spellStart"/>
      <w:r w:rsidRPr="00CD7529">
        <w:rPr>
          <w:rFonts w:cs="David" w:hint="cs"/>
          <w:sz w:val="24"/>
          <w:szCs w:val="24"/>
          <w:rtl/>
          <w:lang w:bidi="he-IL"/>
        </w:rPr>
        <w:t>רונלד</w:t>
      </w:r>
      <w:proofErr w:type="spellEnd"/>
      <w:r w:rsidRPr="00CD7529">
        <w:rPr>
          <w:rFonts w:cs="David" w:hint="cs"/>
          <w:sz w:val="24"/>
          <w:szCs w:val="24"/>
          <w:rtl/>
          <w:lang w:bidi="he-IL"/>
        </w:rPr>
        <w:t xml:space="preserve">, ג'ון </w:t>
      </w:r>
      <w:proofErr w:type="spellStart"/>
      <w:r w:rsidRPr="00CD7529">
        <w:rPr>
          <w:rFonts w:cs="David" w:hint="cs"/>
          <w:sz w:val="24"/>
          <w:szCs w:val="24"/>
          <w:rtl/>
          <w:lang w:bidi="he-IL"/>
        </w:rPr>
        <w:t>ואדוורדס</w:t>
      </w:r>
      <w:proofErr w:type="spellEnd"/>
      <w:r w:rsidRPr="00CD7529">
        <w:rPr>
          <w:rFonts w:cs="David" w:hint="cs"/>
          <w:sz w:val="24"/>
          <w:szCs w:val="24"/>
          <w:rtl/>
          <w:lang w:bidi="he-IL"/>
        </w:rPr>
        <w:t xml:space="preserve">, נועצו ביניהם, והחליטו להשמיד את כל 30 הגברים התוקפים, כדי לחסלם כולם, ובכך להדוף את המתקפה האמורה; וכך עשו. שלושתם הועמדו לדין פלילי בינלאומי </w:t>
      </w:r>
      <w:r w:rsidRPr="00CD7529">
        <w:rPr>
          <w:rFonts w:cs="David" w:hint="cs"/>
          <w:sz w:val="24"/>
          <w:szCs w:val="24"/>
          <w:u w:val="single"/>
          <w:rtl/>
          <w:lang w:bidi="he-IL"/>
        </w:rPr>
        <w:t>בעבירה של השמדת עם</w:t>
      </w:r>
      <w:r w:rsidRPr="00CD7529">
        <w:rPr>
          <w:rFonts w:cs="David" w:hint="cs"/>
          <w:sz w:val="24"/>
          <w:szCs w:val="24"/>
          <w:rtl/>
          <w:lang w:bidi="he-IL"/>
        </w:rPr>
        <w:t xml:space="preserve">. דונו באחריותם של השלושה לעבירה של השמדת עם. </w:t>
      </w:r>
      <w:r w:rsidRPr="001B3B89">
        <w:rPr>
          <w:rFonts w:cs="David"/>
          <w:b/>
          <w:bCs/>
          <w:sz w:val="24"/>
          <w:szCs w:val="24"/>
          <w:u w:val="single"/>
          <w:rtl/>
          <w:lang w:bidi="he-IL"/>
        </w:rPr>
        <w:t>נא לנמק את תשובתכם לפניי ולפנים</w:t>
      </w:r>
      <w:r w:rsidRPr="001B3B89">
        <w:rPr>
          <w:rFonts w:cs="David"/>
          <w:b/>
          <w:bCs/>
          <w:sz w:val="24"/>
          <w:szCs w:val="24"/>
          <w:rtl/>
          <w:lang w:bidi="he-IL"/>
        </w:rPr>
        <w:t>.</w:t>
      </w:r>
      <w:r w:rsidRPr="001B3B89">
        <w:rPr>
          <w:rFonts w:cs="David" w:hint="cs"/>
          <w:b/>
          <w:bCs/>
          <w:sz w:val="24"/>
          <w:szCs w:val="24"/>
          <w:rtl/>
          <w:lang w:bidi="he-IL"/>
        </w:rPr>
        <w:t xml:space="preserve"> </w:t>
      </w:r>
    </w:p>
    <w:p w:rsidR="00420028" w:rsidRDefault="00420028" w:rsidP="00420028">
      <w:pPr>
        <w:bidi/>
        <w:jc w:val="both"/>
        <w:rPr>
          <w:rFonts w:cs="David"/>
          <w:b/>
          <w:bCs/>
          <w:sz w:val="24"/>
          <w:szCs w:val="24"/>
          <w:rtl/>
          <w:lang w:bidi="he-IL"/>
        </w:rPr>
      </w:pPr>
    </w:p>
    <w:p w:rsidR="00510A04" w:rsidRDefault="00510A04" w:rsidP="00510A04">
      <w:pPr>
        <w:bidi/>
        <w:jc w:val="both"/>
        <w:rPr>
          <w:rFonts w:cs="David"/>
          <w:b/>
          <w:bCs/>
          <w:sz w:val="24"/>
          <w:szCs w:val="24"/>
          <w:rtl/>
          <w:lang w:bidi="he-IL"/>
        </w:rPr>
      </w:pPr>
      <w:r w:rsidRPr="00510A04">
        <w:rPr>
          <w:rFonts w:cs="David" w:hint="cs"/>
          <w:b/>
          <w:bCs/>
          <w:sz w:val="24"/>
          <w:szCs w:val="24"/>
          <w:u w:val="single"/>
          <w:rtl/>
          <w:lang w:bidi="he-IL"/>
        </w:rPr>
        <w:t>יש לעמוד על הנקודות הבאות</w:t>
      </w:r>
      <w:r>
        <w:rPr>
          <w:rFonts w:cs="David" w:hint="cs"/>
          <w:b/>
          <w:bCs/>
          <w:sz w:val="24"/>
          <w:szCs w:val="24"/>
          <w:rtl/>
          <w:lang w:bidi="he-IL"/>
        </w:rPr>
        <w:t>:</w:t>
      </w:r>
    </w:p>
    <w:p w:rsidR="00510A04" w:rsidRDefault="00510A04" w:rsidP="00510A04">
      <w:pPr>
        <w:pStyle w:val="ListParagraph"/>
        <w:numPr>
          <w:ilvl w:val="0"/>
          <w:numId w:val="17"/>
        </w:numPr>
        <w:bidi/>
        <w:jc w:val="both"/>
        <w:rPr>
          <w:rFonts w:cs="David" w:hint="cs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הצגת הנחות עובדתיות ומשפטיות אשר מאפשרות דיון בשאלות המשפטיות גופן שלפי </w:t>
      </w:r>
      <w:proofErr w:type="spellStart"/>
      <w:r>
        <w:rPr>
          <w:rFonts w:cs="David" w:hint="cs"/>
          <w:sz w:val="24"/>
          <w:szCs w:val="24"/>
          <w:rtl/>
          <w:lang w:bidi="he-IL"/>
        </w:rPr>
        <w:t>הקייס</w:t>
      </w:r>
      <w:proofErr w:type="spellEnd"/>
      <w:r>
        <w:rPr>
          <w:rFonts w:cs="David" w:hint="cs"/>
          <w:sz w:val="24"/>
          <w:szCs w:val="24"/>
          <w:rtl/>
          <w:lang w:bidi="he-IL"/>
        </w:rPr>
        <w:t xml:space="preserve"> דלעיל; למשל בענייני סמכות בית-הדין ביחס למקרה הקונקרטי.</w:t>
      </w:r>
    </w:p>
    <w:p w:rsidR="00510A04" w:rsidRDefault="00510A04" w:rsidP="00510A04">
      <w:pPr>
        <w:pStyle w:val="ListParagraph"/>
        <w:numPr>
          <w:ilvl w:val="0"/>
          <w:numId w:val="17"/>
        </w:numPr>
        <w:bidi/>
        <w:jc w:val="both"/>
        <w:rPr>
          <w:rFonts w:cs="David" w:hint="cs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ניתוח היסוד העובדתי של העבירה ביחס למקרה זה.</w:t>
      </w:r>
    </w:p>
    <w:p w:rsidR="00510A04" w:rsidRDefault="00510A04" w:rsidP="00510A04">
      <w:pPr>
        <w:pStyle w:val="ListParagraph"/>
        <w:numPr>
          <w:ilvl w:val="0"/>
          <w:numId w:val="17"/>
        </w:numPr>
        <w:bidi/>
        <w:jc w:val="both"/>
        <w:rPr>
          <w:rFonts w:cs="David" w:hint="cs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ניתוח היסוד הנפשי של העבירה ביחס למחקרה זה.</w:t>
      </w:r>
    </w:p>
    <w:p w:rsidR="00510A04" w:rsidRDefault="00510A04" w:rsidP="00510A04">
      <w:pPr>
        <w:pStyle w:val="ListParagraph"/>
        <w:numPr>
          <w:ilvl w:val="0"/>
          <w:numId w:val="17"/>
        </w:numPr>
        <w:bidi/>
        <w:jc w:val="both"/>
        <w:rPr>
          <w:rFonts w:cs="David" w:hint="cs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התייחסות לתחולת הילכת הצפיות ביחס לכוונה המיוחדת הנדרשת בנוגע לעבירת השמדת עם.</w:t>
      </w:r>
    </w:p>
    <w:p w:rsidR="00510A04" w:rsidRDefault="00510A04" w:rsidP="00510A04">
      <w:pPr>
        <w:pStyle w:val="ListParagraph"/>
        <w:numPr>
          <w:ilvl w:val="0"/>
          <w:numId w:val="17"/>
        </w:numPr>
        <w:bidi/>
        <w:jc w:val="both"/>
        <w:rPr>
          <w:rFonts w:cs="David" w:hint="cs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דיון בדיני השותפות ובעבירה של קשירת קשר לביצוע השמדת עם.</w:t>
      </w:r>
    </w:p>
    <w:p w:rsidR="00510A04" w:rsidRPr="00510A04" w:rsidRDefault="00510A04" w:rsidP="00510A04">
      <w:pPr>
        <w:pStyle w:val="ListParagraph"/>
        <w:numPr>
          <w:ilvl w:val="0"/>
          <w:numId w:val="17"/>
        </w:numPr>
        <w:bidi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דיון בהגנה עצמית ובשאלת תחולתה בנוגע למקרה זה כמקרה של השמדת עם לעומת, למשל, פשע מלחמה.</w:t>
      </w:r>
    </w:p>
    <w:p w:rsidR="00E760B0" w:rsidRDefault="00E760B0" w:rsidP="00E13512">
      <w:pPr>
        <w:bidi/>
        <w:jc w:val="both"/>
        <w:rPr>
          <w:rFonts w:cs="David"/>
          <w:b/>
          <w:bCs/>
          <w:sz w:val="24"/>
          <w:szCs w:val="24"/>
          <w:u w:val="single"/>
          <w:rtl/>
          <w:lang w:bidi="he-IL"/>
        </w:rPr>
      </w:pPr>
      <w:r>
        <w:rPr>
          <w:rFonts w:cs="David" w:hint="cs"/>
          <w:b/>
          <w:bCs/>
          <w:sz w:val="24"/>
          <w:szCs w:val="24"/>
          <w:u w:val="single"/>
          <w:rtl/>
          <w:lang w:bidi="he-IL"/>
        </w:rPr>
        <w:t>שאלה</w:t>
      </w:r>
      <w:r w:rsidRPr="00A3778E">
        <w:rPr>
          <w:rFonts w:cs="David" w:hint="cs"/>
          <w:b/>
          <w:bCs/>
          <w:sz w:val="24"/>
          <w:szCs w:val="24"/>
          <w:u w:val="single"/>
          <w:rtl/>
          <w:lang w:bidi="he-IL"/>
        </w:rPr>
        <w:t xml:space="preserve"> </w:t>
      </w:r>
      <w:r w:rsidR="006E71D7">
        <w:rPr>
          <w:rFonts w:cs="David" w:hint="cs"/>
          <w:b/>
          <w:bCs/>
          <w:sz w:val="24"/>
          <w:szCs w:val="24"/>
          <w:u w:val="single"/>
          <w:rtl/>
          <w:lang w:bidi="he-IL"/>
        </w:rPr>
        <w:t>שלישית</w:t>
      </w:r>
      <w:r w:rsidRPr="00A3778E">
        <w:rPr>
          <w:rFonts w:cs="David" w:hint="cs"/>
          <w:b/>
          <w:bCs/>
          <w:sz w:val="24"/>
          <w:szCs w:val="24"/>
          <w:u w:val="single"/>
          <w:rtl/>
          <w:lang w:bidi="he-IL"/>
        </w:rPr>
        <w:t xml:space="preserve"> (</w:t>
      </w:r>
      <w:r w:rsidR="00E13512">
        <w:rPr>
          <w:rFonts w:cs="David" w:hint="cs"/>
          <w:b/>
          <w:bCs/>
          <w:sz w:val="24"/>
          <w:szCs w:val="24"/>
          <w:u w:val="single"/>
          <w:rtl/>
          <w:lang w:bidi="he-IL"/>
        </w:rPr>
        <w:t>20</w:t>
      </w:r>
      <w:r w:rsidRPr="00A3778E">
        <w:rPr>
          <w:rFonts w:cs="David" w:hint="cs"/>
          <w:b/>
          <w:bCs/>
          <w:sz w:val="24"/>
          <w:szCs w:val="24"/>
          <w:u w:val="single"/>
          <w:rtl/>
          <w:lang w:bidi="he-IL"/>
        </w:rPr>
        <w:t xml:space="preserve"> נקודות) </w:t>
      </w:r>
    </w:p>
    <w:p w:rsidR="00CD7529" w:rsidRDefault="00CD7529" w:rsidP="002D6921">
      <w:pPr>
        <w:bidi/>
        <w:spacing w:line="360" w:lineRule="auto"/>
        <w:jc w:val="both"/>
        <w:rPr>
          <w:rFonts w:cs="David"/>
          <w:rtl/>
          <w:lang w:bidi="he-IL"/>
        </w:rPr>
      </w:pPr>
      <w:r w:rsidRPr="0082008D">
        <w:rPr>
          <w:rFonts w:cs="David" w:hint="cs"/>
          <w:rtl/>
          <w:lang w:bidi="he-IL"/>
        </w:rPr>
        <w:t xml:space="preserve">דונו </w:t>
      </w:r>
      <w:r w:rsidR="002D6921" w:rsidRPr="002D6921">
        <w:rPr>
          <w:rFonts w:cs="David" w:hint="cs"/>
          <w:b/>
          <w:bCs/>
          <w:u w:val="single"/>
          <w:rtl/>
          <w:lang w:bidi="he-IL"/>
        </w:rPr>
        <w:t>בכל</w:t>
      </w:r>
      <w:r w:rsidR="002D6921">
        <w:rPr>
          <w:rFonts w:cs="David" w:hint="cs"/>
          <w:rtl/>
          <w:lang w:bidi="he-IL"/>
        </w:rPr>
        <w:t xml:space="preserve"> הקושיות בקשויות</w:t>
      </w:r>
      <w:r w:rsidRPr="0082008D">
        <w:rPr>
          <w:rFonts w:cs="David" w:hint="cs"/>
          <w:rtl/>
          <w:lang w:bidi="he-IL"/>
        </w:rPr>
        <w:t xml:space="preserve"> הנוגעת להגדרת </w:t>
      </w:r>
      <w:r w:rsidR="002D6921">
        <w:rPr>
          <w:rFonts w:cs="David" w:hint="cs"/>
          <w:rtl/>
          <w:lang w:bidi="he-IL"/>
        </w:rPr>
        <w:t>עבירת השמדת עם שלפי חוק אמנת רומא.</w:t>
      </w:r>
    </w:p>
    <w:p w:rsidR="00420028" w:rsidRDefault="00420028" w:rsidP="00420028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420028">
        <w:rPr>
          <w:rFonts w:cs="David" w:hint="cs"/>
          <w:b/>
          <w:bCs/>
          <w:sz w:val="24"/>
          <w:szCs w:val="24"/>
          <w:u w:val="single"/>
          <w:rtl/>
          <w:lang w:bidi="he-IL"/>
        </w:rPr>
        <w:t>בין היתר</w:t>
      </w:r>
      <w:r>
        <w:rPr>
          <w:rFonts w:cs="David" w:hint="cs"/>
          <w:sz w:val="24"/>
          <w:szCs w:val="24"/>
          <w:rtl/>
          <w:lang w:bidi="he-IL"/>
        </w:rPr>
        <w:t xml:space="preserve"> יש לעמוד על הטיעונים הבאים:</w:t>
      </w:r>
    </w:p>
    <w:p w:rsidR="00420028" w:rsidRDefault="00420028" w:rsidP="00420028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rFonts w:cs="David" w:hint="cs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הגדרת היסוד העובדתי: </w:t>
      </w:r>
    </w:p>
    <w:p w:rsidR="00420028" w:rsidRDefault="00420028" w:rsidP="00420028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רשימת הקבוצות המוגנות היא רשימה סגורה. האם אין מקום </w:t>
      </w:r>
      <w:proofErr w:type="spellStart"/>
      <w:r>
        <w:rPr>
          <w:rFonts w:cs="David" w:hint="cs"/>
          <w:sz w:val="24"/>
          <w:szCs w:val="24"/>
          <w:rtl/>
          <w:lang w:bidi="he-IL"/>
        </w:rPr>
        <w:t>ליתן</w:t>
      </w:r>
      <w:proofErr w:type="spellEnd"/>
      <w:r>
        <w:rPr>
          <w:rFonts w:cs="David" w:hint="cs"/>
          <w:sz w:val="24"/>
          <w:szCs w:val="24"/>
          <w:rtl/>
          <w:lang w:bidi="he-IL"/>
        </w:rPr>
        <w:t xml:space="preserve"> פרשנות מרחיבה למשמעות של קבוצות אלה? אם אין מקום ליצור, בדרך פרשנית או ע"י תיקון חוק אמנת רומא, קבוצות מוגנות נוספות, כמו קבוצות תרבותיות?</w:t>
      </w:r>
    </w:p>
    <w:p w:rsidR="00420028" w:rsidRDefault="00420028" w:rsidP="00420028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הגדרת המעשים הנופלים בגדר היסוד העובדתי היא אמורפית למדי; וזה בניגוד לעיקרון החוקיות.</w:t>
      </w:r>
    </w:p>
    <w:p w:rsidR="00420028" w:rsidRDefault="00420028" w:rsidP="00420028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הגדרת היסוד הנפשי:</w:t>
      </w:r>
    </w:p>
    <w:p w:rsidR="00420028" w:rsidRDefault="00420028" w:rsidP="00420028">
      <w:pPr>
        <w:pStyle w:val="ListParagraph"/>
        <w:numPr>
          <w:ilvl w:val="0"/>
          <w:numId w:val="15"/>
        </w:numPr>
        <w:bidi/>
        <w:spacing w:line="360" w:lineRule="auto"/>
        <w:jc w:val="both"/>
        <w:rPr>
          <w:rFonts w:cs="David" w:hint="cs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lastRenderedPageBreak/>
        <w:t>מדובר ביסוד נפשי מורכב הנמנה עם הרף הגבוה ביותר עד כדי קיומו של קושי רב, עד בלתי אפשרי, ביחס להוכחתו, היינו- ידיעה, כוונה, וכוונה מיוחדת.</w:t>
      </w:r>
    </w:p>
    <w:p w:rsidR="00420028" w:rsidRDefault="00420028" w:rsidP="00420028">
      <w:pPr>
        <w:pStyle w:val="ListParagraph"/>
        <w:numPr>
          <w:ilvl w:val="0"/>
          <w:numId w:val="15"/>
        </w:num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האם יש תחולה לדוקטרינת עצימת העיניים ולהלכת הצפיות על "הכוונה המיוחדת"?</w:t>
      </w:r>
    </w:p>
    <w:p w:rsidR="00510A04" w:rsidRDefault="00420028" w:rsidP="00420028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הגדרת היקף העבירה:</w:t>
      </w:r>
      <w:r w:rsidR="00510A04">
        <w:rPr>
          <w:rFonts w:cs="David" w:hint="cs"/>
          <w:sz w:val="24"/>
          <w:szCs w:val="24"/>
          <w:rtl/>
          <w:lang w:bidi="he-IL"/>
        </w:rPr>
        <w:t xml:space="preserve"> </w:t>
      </w:r>
    </w:p>
    <w:p w:rsidR="00420028" w:rsidRDefault="00510A04" w:rsidP="00510A04">
      <w:pPr>
        <w:pStyle w:val="ListParagraph"/>
        <w:numPr>
          <w:ilvl w:val="0"/>
          <w:numId w:val="16"/>
        </w:num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מה היחס בין חוק אמנת רומא לבין האמנה נגד השמדת עם; למשל, בנוגע לקשירת קשר לביצוע השמדת עם?</w:t>
      </w:r>
    </w:p>
    <w:p w:rsidR="00510A04" w:rsidRPr="00420028" w:rsidRDefault="00510A04" w:rsidP="00510A04">
      <w:pPr>
        <w:pStyle w:val="ListParagraph"/>
        <w:numPr>
          <w:ilvl w:val="0"/>
          <w:numId w:val="16"/>
        </w:num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מה הגבול בין הסתה להשמדת עם לבין שידול להשמדת עם?</w:t>
      </w:r>
    </w:p>
    <w:p w:rsidR="00420028" w:rsidRPr="0082008D" w:rsidRDefault="00420028" w:rsidP="00420028">
      <w:pPr>
        <w:bidi/>
        <w:spacing w:line="360" w:lineRule="auto"/>
        <w:jc w:val="both"/>
        <w:rPr>
          <w:rFonts w:cs="David"/>
          <w:rtl/>
          <w:lang w:bidi="he-IL"/>
        </w:rPr>
      </w:pPr>
    </w:p>
    <w:p w:rsidR="00CD7529" w:rsidRPr="00AC1ED7" w:rsidRDefault="00CD7529" w:rsidP="00CD7529">
      <w:pPr>
        <w:bidi/>
        <w:jc w:val="both"/>
        <w:rPr>
          <w:rFonts w:cs="David"/>
          <w:b/>
          <w:bCs/>
          <w:sz w:val="24"/>
          <w:szCs w:val="24"/>
          <w:rtl/>
          <w:lang w:bidi="he-IL"/>
        </w:rPr>
      </w:pPr>
    </w:p>
    <w:sectPr w:rsidR="00CD7529" w:rsidRPr="00AC1ED7" w:rsidSect="00412CFF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1E" w:rsidRDefault="00A6541E" w:rsidP="00412CFF">
      <w:pPr>
        <w:spacing w:after="0" w:line="240" w:lineRule="auto"/>
      </w:pPr>
      <w:r>
        <w:separator/>
      </w:r>
    </w:p>
  </w:endnote>
  <w:endnote w:type="continuationSeparator" w:id="0">
    <w:p w:rsidR="00A6541E" w:rsidRDefault="00A6541E" w:rsidP="0041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1E" w:rsidRDefault="00A6541E" w:rsidP="00412CFF">
      <w:pPr>
        <w:spacing w:after="0" w:line="240" w:lineRule="auto"/>
      </w:pPr>
      <w:r>
        <w:separator/>
      </w:r>
    </w:p>
  </w:footnote>
  <w:footnote w:type="continuationSeparator" w:id="0">
    <w:p w:rsidR="00A6541E" w:rsidRDefault="00A6541E" w:rsidP="0041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526529"/>
      <w:docPartObj>
        <w:docPartGallery w:val="Page Numbers (Top of Page)"/>
        <w:docPartUnique/>
      </w:docPartObj>
    </w:sdtPr>
    <w:sdtEndPr/>
    <w:sdtContent>
      <w:p w:rsidR="00003373" w:rsidRDefault="000033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A04" w:rsidRPr="00510A04">
          <w:rPr>
            <w:rFonts w:cs="Calibri"/>
            <w:noProof/>
            <w:lang w:val="he-IL" w:bidi="he-IL"/>
          </w:rPr>
          <w:t>2</w:t>
        </w:r>
        <w:r>
          <w:rPr>
            <w:rFonts w:cs="Calibri"/>
            <w:noProof/>
            <w:lang w:val="he-IL" w:bidi="he-IL"/>
          </w:rPr>
          <w:fldChar w:fldCharType="end"/>
        </w:r>
      </w:p>
    </w:sdtContent>
  </w:sdt>
  <w:p w:rsidR="00003373" w:rsidRDefault="0000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BC3"/>
    <w:multiLevelType w:val="hybridMultilevel"/>
    <w:tmpl w:val="11AC5B92"/>
    <w:lvl w:ilvl="0" w:tplc="D6CC12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A31"/>
    <w:multiLevelType w:val="hybridMultilevel"/>
    <w:tmpl w:val="D4B4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1596"/>
    <w:multiLevelType w:val="hybridMultilevel"/>
    <w:tmpl w:val="76CE5D48"/>
    <w:lvl w:ilvl="0" w:tplc="2BD629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278F"/>
    <w:multiLevelType w:val="hybridMultilevel"/>
    <w:tmpl w:val="D6783EFA"/>
    <w:lvl w:ilvl="0" w:tplc="A710BB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D0035"/>
    <w:multiLevelType w:val="hybridMultilevel"/>
    <w:tmpl w:val="6E38F236"/>
    <w:lvl w:ilvl="0" w:tplc="A8D21D8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E08D0"/>
    <w:multiLevelType w:val="hybridMultilevel"/>
    <w:tmpl w:val="D1B223A8"/>
    <w:lvl w:ilvl="0" w:tplc="1E5E63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2629"/>
    <w:multiLevelType w:val="hybridMultilevel"/>
    <w:tmpl w:val="F9B05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64703"/>
    <w:multiLevelType w:val="hybridMultilevel"/>
    <w:tmpl w:val="7ACA2A60"/>
    <w:lvl w:ilvl="0" w:tplc="8E62BBF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F06C62"/>
    <w:multiLevelType w:val="hybridMultilevel"/>
    <w:tmpl w:val="B8F6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24D9"/>
    <w:multiLevelType w:val="hybridMultilevel"/>
    <w:tmpl w:val="CC42A28C"/>
    <w:lvl w:ilvl="0" w:tplc="5D9E14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968EB"/>
    <w:multiLevelType w:val="hybridMultilevel"/>
    <w:tmpl w:val="66984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E69A8"/>
    <w:multiLevelType w:val="hybridMultilevel"/>
    <w:tmpl w:val="FA82FA94"/>
    <w:lvl w:ilvl="0" w:tplc="C9B02072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87DF0"/>
    <w:multiLevelType w:val="hybridMultilevel"/>
    <w:tmpl w:val="2F4CD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82F64"/>
    <w:multiLevelType w:val="hybridMultilevel"/>
    <w:tmpl w:val="A566D6E6"/>
    <w:lvl w:ilvl="0" w:tplc="20E2D4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F03D52"/>
    <w:multiLevelType w:val="hybridMultilevel"/>
    <w:tmpl w:val="080A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7436C"/>
    <w:multiLevelType w:val="hybridMultilevel"/>
    <w:tmpl w:val="0BC4AB2E"/>
    <w:lvl w:ilvl="0" w:tplc="BE5A01F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8"/>
  </w:num>
  <w:num w:numId="14">
    <w:abstractNumId w:val="15"/>
  </w:num>
  <w:num w:numId="15">
    <w:abstractNumId w:val="7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AD"/>
    <w:rsid w:val="00003373"/>
    <w:rsid w:val="00025C56"/>
    <w:rsid w:val="00027693"/>
    <w:rsid w:val="0003469E"/>
    <w:rsid w:val="000439F2"/>
    <w:rsid w:val="00047650"/>
    <w:rsid w:val="0006012F"/>
    <w:rsid w:val="000942EA"/>
    <w:rsid w:val="000B2F33"/>
    <w:rsid w:val="000C55F9"/>
    <w:rsid w:val="000D14C5"/>
    <w:rsid w:val="00100CB1"/>
    <w:rsid w:val="00102743"/>
    <w:rsid w:val="001314CA"/>
    <w:rsid w:val="001536AD"/>
    <w:rsid w:val="00182525"/>
    <w:rsid w:val="00192951"/>
    <w:rsid w:val="001B0EFF"/>
    <w:rsid w:val="001B3B89"/>
    <w:rsid w:val="001C004F"/>
    <w:rsid w:val="001E03DA"/>
    <w:rsid w:val="001E1270"/>
    <w:rsid w:val="001E7D52"/>
    <w:rsid w:val="00243067"/>
    <w:rsid w:val="002805FE"/>
    <w:rsid w:val="00287B0E"/>
    <w:rsid w:val="002A76E2"/>
    <w:rsid w:val="002B748D"/>
    <w:rsid w:val="002C265C"/>
    <w:rsid w:val="002D6921"/>
    <w:rsid w:val="002E78F7"/>
    <w:rsid w:val="00312F48"/>
    <w:rsid w:val="00313BE1"/>
    <w:rsid w:val="003568E5"/>
    <w:rsid w:val="00374218"/>
    <w:rsid w:val="003862E3"/>
    <w:rsid w:val="0038647C"/>
    <w:rsid w:val="003C1D4B"/>
    <w:rsid w:val="003C357B"/>
    <w:rsid w:val="003D15D4"/>
    <w:rsid w:val="003E51AA"/>
    <w:rsid w:val="00412CFF"/>
    <w:rsid w:val="00420028"/>
    <w:rsid w:val="00426E69"/>
    <w:rsid w:val="004471AB"/>
    <w:rsid w:val="004546AF"/>
    <w:rsid w:val="00476F2C"/>
    <w:rsid w:val="004779B0"/>
    <w:rsid w:val="004A4FB6"/>
    <w:rsid w:val="00510A04"/>
    <w:rsid w:val="00532F19"/>
    <w:rsid w:val="00580AA2"/>
    <w:rsid w:val="005C2930"/>
    <w:rsid w:val="005D6BEE"/>
    <w:rsid w:val="005E5171"/>
    <w:rsid w:val="00607187"/>
    <w:rsid w:val="00617E03"/>
    <w:rsid w:val="00621C5E"/>
    <w:rsid w:val="006832B4"/>
    <w:rsid w:val="006A64FE"/>
    <w:rsid w:val="006C049A"/>
    <w:rsid w:val="006D6BAD"/>
    <w:rsid w:val="006E71D7"/>
    <w:rsid w:val="006F0499"/>
    <w:rsid w:val="00716CC8"/>
    <w:rsid w:val="00737B0E"/>
    <w:rsid w:val="00785155"/>
    <w:rsid w:val="00786B34"/>
    <w:rsid w:val="007942BA"/>
    <w:rsid w:val="007B0EF4"/>
    <w:rsid w:val="007C7F33"/>
    <w:rsid w:val="007D0493"/>
    <w:rsid w:val="007F5744"/>
    <w:rsid w:val="00832042"/>
    <w:rsid w:val="00844F85"/>
    <w:rsid w:val="008655C0"/>
    <w:rsid w:val="008A3EDB"/>
    <w:rsid w:val="008A42D1"/>
    <w:rsid w:val="008B2844"/>
    <w:rsid w:val="008D43DB"/>
    <w:rsid w:val="008E2E66"/>
    <w:rsid w:val="008E644F"/>
    <w:rsid w:val="008F6948"/>
    <w:rsid w:val="00900012"/>
    <w:rsid w:val="009143CF"/>
    <w:rsid w:val="009152B5"/>
    <w:rsid w:val="0093376D"/>
    <w:rsid w:val="00950DBA"/>
    <w:rsid w:val="0095796D"/>
    <w:rsid w:val="00974785"/>
    <w:rsid w:val="00987B32"/>
    <w:rsid w:val="00993758"/>
    <w:rsid w:val="00994767"/>
    <w:rsid w:val="009A1D43"/>
    <w:rsid w:val="009B7004"/>
    <w:rsid w:val="009F1741"/>
    <w:rsid w:val="009F5610"/>
    <w:rsid w:val="00A04F47"/>
    <w:rsid w:val="00A23A3A"/>
    <w:rsid w:val="00A3778E"/>
    <w:rsid w:val="00A5145E"/>
    <w:rsid w:val="00A6541E"/>
    <w:rsid w:val="00AB1CA6"/>
    <w:rsid w:val="00AB3313"/>
    <w:rsid w:val="00AC1ED7"/>
    <w:rsid w:val="00AE4CCD"/>
    <w:rsid w:val="00AF1CD7"/>
    <w:rsid w:val="00B36AD5"/>
    <w:rsid w:val="00B41D8F"/>
    <w:rsid w:val="00B51AE2"/>
    <w:rsid w:val="00B93D59"/>
    <w:rsid w:val="00BA53E2"/>
    <w:rsid w:val="00BA661A"/>
    <w:rsid w:val="00BF2B3F"/>
    <w:rsid w:val="00BF4A99"/>
    <w:rsid w:val="00C27F8D"/>
    <w:rsid w:val="00C4102E"/>
    <w:rsid w:val="00C67671"/>
    <w:rsid w:val="00C677BA"/>
    <w:rsid w:val="00C82239"/>
    <w:rsid w:val="00CD7529"/>
    <w:rsid w:val="00CF4289"/>
    <w:rsid w:val="00D2478D"/>
    <w:rsid w:val="00D26DF9"/>
    <w:rsid w:val="00D46A55"/>
    <w:rsid w:val="00D72491"/>
    <w:rsid w:val="00D7451C"/>
    <w:rsid w:val="00D75726"/>
    <w:rsid w:val="00D76C1B"/>
    <w:rsid w:val="00DC028A"/>
    <w:rsid w:val="00DC75E1"/>
    <w:rsid w:val="00DF4ACC"/>
    <w:rsid w:val="00E13512"/>
    <w:rsid w:val="00E213BE"/>
    <w:rsid w:val="00E43A8C"/>
    <w:rsid w:val="00E5389B"/>
    <w:rsid w:val="00E71A8F"/>
    <w:rsid w:val="00E760B0"/>
    <w:rsid w:val="00E8622F"/>
    <w:rsid w:val="00E92A8B"/>
    <w:rsid w:val="00EE621F"/>
    <w:rsid w:val="00F1214D"/>
    <w:rsid w:val="00F32044"/>
    <w:rsid w:val="00F66910"/>
    <w:rsid w:val="00F67A7D"/>
    <w:rsid w:val="00F721C5"/>
    <w:rsid w:val="00F9089C"/>
    <w:rsid w:val="00FA0C53"/>
    <w:rsid w:val="00FA0F04"/>
    <w:rsid w:val="00FE3268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125E"/>
  <w15:docId w15:val="{C218EF1A-0BDE-42B0-95AA-79AFA77F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FF"/>
  </w:style>
  <w:style w:type="paragraph" w:styleId="Footer">
    <w:name w:val="footer"/>
    <w:basedOn w:val="Normal"/>
    <w:link w:val="FooterChar"/>
    <w:uiPriority w:val="99"/>
    <w:semiHidden/>
    <w:unhideWhenUsed/>
    <w:rsid w:val="0041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CFF"/>
  </w:style>
  <w:style w:type="paragraph" w:styleId="NormalWeb">
    <w:name w:val="Normal (Web)"/>
    <w:basedOn w:val="Normal"/>
    <w:rsid w:val="000439F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 Wattad</cp:lastModifiedBy>
  <cp:revision>4</cp:revision>
  <cp:lastPrinted>2018-06-09T19:22:00Z</cp:lastPrinted>
  <dcterms:created xsi:type="dcterms:W3CDTF">2018-07-04T18:59:00Z</dcterms:created>
  <dcterms:modified xsi:type="dcterms:W3CDTF">2018-07-04T19:13:00Z</dcterms:modified>
</cp:coreProperties>
</file>