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43" w:rsidRPr="00CD00DD" w:rsidRDefault="00695743" w:rsidP="00695743">
      <w:pPr>
        <w:jc w:val="center"/>
        <w:rPr>
          <w:rFonts w:cs="David"/>
          <w:rtl/>
        </w:rPr>
      </w:pPr>
    </w:p>
    <w:p w:rsidR="00695743" w:rsidRPr="00B4543A" w:rsidRDefault="00B4543A" w:rsidP="00F67744">
      <w:pPr>
        <w:pStyle w:val="1"/>
        <w:jc w:val="center"/>
        <w:rPr>
          <w:sz w:val="28"/>
          <w:szCs w:val="32"/>
          <w:rtl/>
        </w:rPr>
      </w:pPr>
      <w:r w:rsidRPr="00B4543A">
        <w:rPr>
          <w:rFonts w:hint="cs"/>
          <w:sz w:val="28"/>
          <w:szCs w:val="28"/>
          <w:rtl/>
        </w:rPr>
        <w:t>אוניברסיטת תל-אביב</w:t>
      </w:r>
    </w:p>
    <w:p w:rsidR="00695743" w:rsidRDefault="00695743" w:rsidP="00695743">
      <w:pPr>
        <w:jc w:val="center"/>
        <w:rPr>
          <w:rFonts w:cs="David"/>
          <w:b/>
          <w:bCs/>
          <w:rtl/>
        </w:rPr>
      </w:pPr>
    </w:p>
    <w:p w:rsidR="00695743" w:rsidRDefault="00695743" w:rsidP="00695743">
      <w:pPr>
        <w:spacing w:line="360" w:lineRule="auto"/>
        <w:jc w:val="center"/>
        <w:rPr>
          <w:rFonts w:cs="David"/>
          <w:b/>
          <w:bCs/>
          <w:rtl/>
        </w:rPr>
      </w:pPr>
    </w:p>
    <w:p w:rsidR="00695743" w:rsidRPr="002B165A" w:rsidRDefault="00695743" w:rsidP="00695743">
      <w:pPr>
        <w:spacing w:line="360" w:lineRule="auto"/>
        <w:jc w:val="center"/>
        <w:rPr>
          <w:rFonts w:cs="David"/>
          <w:b/>
          <w:bCs/>
          <w:sz w:val="24"/>
          <w:szCs w:val="24"/>
          <w:rtl/>
        </w:rPr>
      </w:pPr>
      <w:r w:rsidRPr="002B165A">
        <w:rPr>
          <w:rFonts w:cs="David" w:hint="cs"/>
          <w:b/>
          <w:bCs/>
          <w:sz w:val="24"/>
          <w:szCs w:val="24"/>
          <w:rtl/>
        </w:rPr>
        <w:t>ליטיגציה תאגידית</w:t>
      </w:r>
    </w:p>
    <w:p w:rsidR="00695743" w:rsidRPr="002B165A" w:rsidRDefault="00695743" w:rsidP="00D66F14">
      <w:pPr>
        <w:spacing w:line="360" w:lineRule="auto"/>
        <w:jc w:val="center"/>
        <w:rPr>
          <w:rFonts w:cs="David"/>
          <w:b/>
          <w:bCs/>
          <w:sz w:val="24"/>
          <w:szCs w:val="24"/>
          <w:rtl/>
        </w:rPr>
      </w:pPr>
      <w:r w:rsidRPr="002B165A">
        <w:rPr>
          <w:rFonts w:cs="David" w:hint="cs"/>
          <w:b/>
          <w:bCs/>
          <w:sz w:val="24"/>
          <w:szCs w:val="24"/>
          <w:rtl/>
        </w:rPr>
        <w:t>שנת הלימודים</w:t>
      </w:r>
      <w:r w:rsidR="00F67744">
        <w:rPr>
          <w:rFonts w:cs="David" w:hint="cs"/>
          <w:b/>
          <w:bCs/>
          <w:sz w:val="24"/>
          <w:szCs w:val="24"/>
          <w:rtl/>
        </w:rPr>
        <w:t xml:space="preserve">  </w:t>
      </w:r>
      <w:r w:rsidR="001E35AD">
        <w:rPr>
          <w:rFonts w:cs="David" w:hint="cs"/>
          <w:b/>
          <w:bCs/>
          <w:sz w:val="24"/>
          <w:szCs w:val="24"/>
          <w:rtl/>
        </w:rPr>
        <w:t>תשע"</w:t>
      </w:r>
      <w:r w:rsidR="00D66F14">
        <w:rPr>
          <w:rFonts w:cs="David" w:hint="cs"/>
          <w:b/>
          <w:bCs/>
          <w:sz w:val="24"/>
          <w:szCs w:val="24"/>
          <w:rtl/>
        </w:rPr>
        <w:t>ח</w:t>
      </w:r>
      <w:r w:rsidRPr="002B165A">
        <w:rPr>
          <w:rFonts w:cs="David" w:hint="cs"/>
          <w:b/>
          <w:bCs/>
          <w:sz w:val="24"/>
          <w:szCs w:val="24"/>
          <w:rtl/>
        </w:rPr>
        <w:t xml:space="preserve">, סמסטר </w:t>
      </w:r>
      <w:r w:rsidR="00D66F14">
        <w:rPr>
          <w:rFonts w:cs="David" w:hint="cs"/>
          <w:b/>
          <w:bCs/>
          <w:sz w:val="24"/>
          <w:szCs w:val="24"/>
          <w:rtl/>
        </w:rPr>
        <w:t>א</w:t>
      </w:r>
      <w:r w:rsidR="00F67744">
        <w:rPr>
          <w:rFonts w:cs="David" w:hint="cs"/>
          <w:b/>
          <w:bCs/>
          <w:sz w:val="24"/>
          <w:szCs w:val="24"/>
          <w:rtl/>
        </w:rPr>
        <w:t>'</w:t>
      </w:r>
    </w:p>
    <w:p w:rsidR="00695743" w:rsidRPr="002B165A" w:rsidRDefault="00695743" w:rsidP="001E35AD">
      <w:pPr>
        <w:spacing w:line="360" w:lineRule="auto"/>
        <w:jc w:val="center"/>
        <w:rPr>
          <w:rFonts w:cs="David"/>
          <w:sz w:val="24"/>
          <w:szCs w:val="24"/>
          <w:rtl/>
        </w:rPr>
      </w:pPr>
      <w:r w:rsidRPr="002B165A">
        <w:rPr>
          <w:rFonts w:cs="David" w:hint="cs"/>
          <w:sz w:val="24"/>
          <w:szCs w:val="24"/>
          <w:rtl/>
        </w:rPr>
        <w:t>ד"ר יעל ארידור בר-אילן</w:t>
      </w:r>
    </w:p>
    <w:p w:rsidR="00695743" w:rsidRPr="002B165A" w:rsidRDefault="00695743" w:rsidP="00695743">
      <w:pPr>
        <w:spacing w:line="360" w:lineRule="auto"/>
        <w:jc w:val="center"/>
        <w:rPr>
          <w:rFonts w:cs="David"/>
          <w:b/>
          <w:bCs/>
          <w:sz w:val="24"/>
          <w:szCs w:val="24"/>
          <w:rtl/>
        </w:rPr>
      </w:pPr>
    </w:p>
    <w:p w:rsidR="00695743" w:rsidRPr="002B165A" w:rsidRDefault="00695743" w:rsidP="00B4543A">
      <w:pPr>
        <w:spacing w:line="360" w:lineRule="auto"/>
        <w:jc w:val="center"/>
        <w:rPr>
          <w:rFonts w:cs="David"/>
          <w:b/>
          <w:bCs/>
          <w:sz w:val="24"/>
          <w:szCs w:val="24"/>
          <w:u w:val="single"/>
          <w:rtl/>
        </w:rPr>
      </w:pPr>
      <w:r w:rsidRPr="002B165A">
        <w:rPr>
          <w:rFonts w:cs="David" w:hint="cs"/>
          <w:b/>
          <w:bCs/>
          <w:sz w:val="24"/>
          <w:szCs w:val="24"/>
          <w:u w:val="single"/>
          <w:rtl/>
        </w:rPr>
        <w:t xml:space="preserve">מועד </w:t>
      </w:r>
      <w:r w:rsidR="00B4543A">
        <w:rPr>
          <w:rFonts w:cs="David" w:hint="cs"/>
          <w:b/>
          <w:bCs/>
          <w:sz w:val="24"/>
          <w:szCs w:val="24"/>
          <w:u w:val="single"/>
          <w:rtl/>
        </w:rPr>
        <w:t>א</w:t>
      </w:r>
      <w:r w:rsidRPr="002B165A">
        <w:rPr>
          <w:rFonts w:cs="David" w:hint="cs"/>
          <w:b/>
          <w:bCs/>
          <w:sz w:val="24"/>
          <w:szCs w:val="24"/>
          <w:u w:val="single"/>
          <w:rtl/>
        </w:rPr>
        <w:t>'</w:t>
      </w:r>
    </w:p>
    <w:p w:rsidR="00695743" w:rsidRPr="002B165A" w:rsidRDefault="00695743" w:rsidP="00695743">
      <w:pPr>
        <w:spacing w:line="360" w:lineRule="auto"/>
        <w:rPr>
          <w:rFonts w:cs="David"/>
          <w:sz w:val="24"/>
          <w:szCs w:val="24"/>
          <w:rtl/>
        </w:rPr>
      </w:pPr>
      <w:r w:rsidRPr="002B165A">
        <w:rPr>
          <w:rFonts w:cs="David" w:hint="cs"/>
          <w:sz w:val="24"/>
          <w:szCs w:val="24"/>
          <w:u w:val="single"/>
          <w:rtl/>
        </w:rPr>
        <w:t>מתכונת הבחינה</w:t>
      </w:r>
      <w:r w:rsidRPr="002B165A">
        <w:rPr>
          <w:rFonts w:cs="David" w:hint="cs"/>
          <w:sz w:val="24"/>
          <w:szCs w:val="24"/>
          <w:rtl/>
        </w:rPr>
        <w:t>: ספרים פתוחים</w:t>
      </w:r>
    </w:p>
    <w:p w:rsidR="00695743" w:rsidRPr="002B165A" w:rsidRDefault="00695743" w:rsidP="00B8716B">
      <w:pPr>
        <w:spacing w:line="360" w:lineRule="auto"/>
        <w:rPr>
          <w:rFonts w:cs="David"/>
          <w:sz w:val="24"/>
          <w:szCs w:val="24"/>
          <w:rtl/>
        </w:rPr>
      </w:pPr>
      <w:r w:rsidRPr="002B165A">
        <w:rPr>
          <w:rFonts w:cs="David" w:hint="cs"/>
          <w:sz w:val="24"/>
          <w:szCs w:val="24"/>
          <w:u w:val="single"/>
          <w:rtl/>
        </w:rPr>
        <w:t>משך הבחינה</w:t>
      </w:r>
      <w:r w:rsidRPr="002B165A">
        <w:rPr>
          <w:rFonts w:cs="David" w:hint="cs"/>
          <w:sz w:val="24"/>
          <w:szCs w:val="24"/>
          <w:rtl/>
        </w:rPr>
        <w:t xml:space="preserve">: </w:t>
      </w:r>
      <w:r>
        <w:rPr>
          <w:rFonts w:cs="David" w:hint="cs"/>
          <w:sz w:val="24"/>
          <w:szCs w:val="24"/>
          <w:rtl/>
        </w:rPr>
        <w:t>ש</w:t>
      </w:r>
      <w:r w:rsidR="00B8716B">
        <w:rPr>
          <w:rFonts w:cs="David" w:hint="cs"/>
          <w:sz w:val="24"/>
          <w:szCs w:val="24"/>
          <w:rtl/>
        </w:rPr>
        <w:t>עתיים</w:t>
      </w:r>
      <w:r w:rsidRPr="002B165A">
        <w:rPr>
          <w:rFonts w:cs="David" w:hint="cs"/>
          <w:sz w:val="24"/>
          <w:szCs w:val="24"/>
          <w:rtl/>
        </w:rPr>
        <w:t xml:space="preserve"> </w:t>
      </w:r>
      <w:r w:rsidR="000E38A0">
        <w:rPr>
          <w:rFonts w:cs="David" w:hint="cs"/>
          <w:sz w:val="24"/>
          <w:szCs w:val="24"/>
          <w:rtl/>
        </w:rPr>
        <w:t xml:space="preserve">וחצי </w:t>
      </w:r>
      <w:r w:rsidRPr="002B165A">
        <w:rPr>
          <w:rFonts w:cs="David" w:hint="cs"/>
          <w:sz w:val="24"/>
          <w:szCs w:val="24"/>
          <w:rtl/>
        </w:rPr>
        <w:t>(ללא הארכת זמן).</w:t>
      </w:r>
    </w:p>
    <w:p w:rsidR="00695743" w:rsidRDefault="00695743" w:rsidP="00B4543A">
      <w:pPr>
        <w:spacing w:line="360" w:lineRule="auto"/>
        <w:jc w:val="both"/>
        <w:rPr>
          <w:rFonts w:cs="David"/>
          <w:sz w:val="24"/>
          <w:szCs w:val="24"/>
          <w:rtl/>
        </w:rPr>
      </w:pPr>
      <w:r w:rsidRPr="002B165A">
        <w:rPr>
          <w:rFonts w:cs="David" w:hint="cs"/>
          <w:sz w:val="24"/>
          <w:szCs w:val="24"/>
          <w:u w:val="single"/>
          <w:rtl/>
        </w:rPr>
        <w:t>היקף הפתרון</w:t>
      </w:r>
      <w:r w:rsidRPr="002B165A">
        <w:rPr>
          <w:rFonts w:cs="David" w:hint="cs"/>
          <w:sz w:val="24"/>
          <w:szCs w:val="24"/>
          <w:rtl/>
        </w:rPr>
        <w:t>: עד שישה עמודים</w:t>
      </w:r>
      <w:r>
        <w:rPr>
          <w:rFonts w:cs="David" w:hint="cs"/>
          <w:sz w:val="24"/>
          <w:szCs w:val="24"/>
          <w:rtl/>
        </w:rPr>
        <w:t xml:space="preserve"> </w:t>
      </w:r>
      <w:r w:rsidRPr="002B165A">
        <w:rPr>
          <w:rFonts w:cs="David" w:hint="cs"/>
          <w:sz w:val="24"/>
          <w:szCs w:val="24"/>
          <w:rtl/>
        </w:rPr>
        <w:t>(נא לכתוב בצד אחד של הדף בלבד).</w:t>
      </w:r>
    </w:p>
    <w:p w:rsidR="00695743" w:rsidRDefault="00695743" w:rsidP="00695743">
      <w:pPr>
        <w:spacing w:line="360" w:lineRule="auto"/>
        <w:rPr>
          <w:rFonts w:cs="David"/>
          <w:sz w:val="24"/>
          <w:szCs w:val="24"/>
          <w:rtl/>
        </w:rPr>
      </w:pPr>
    </w:p>
    <w:p w:rsidR="00695743" w:rsidRPr="00350B04" w:rsidRDefault="00695743" w:rsidP="00D66F14">
      <w:pPr>
        <w:spacing w:line="360" w:lineRule="auto"/>
        <w:rPr>
          <w:rFonts w:cs="David"/>
          <w:b/>
          <w:bCs/>
          <w:sz w:val="28"/>
          <w:szCs w:val="28"/>
          <w:u w:val="single"/>
          <w:rtl/>
        </w:rPr>
      </w:pPr>
      <w:r w:rsidRPr="00E45ED0">
        <w:rPr>
          <w:rFonts w:cs="David" w:hint="cs"/>
          <w:b/>
          <w:bCs/>
          <w:sz w:val="24"/>
          <w:szCs w:val="24"/>
          <w:u w:val="single"/>
          <w:rtl/>
        </w:rPr>
        <w:t>שאלה 1</w:t>
      </w:r>
      <w:r w:rsidR="00E45ED0" w:rsidRPr="00E45ED0">
        <w:rPr>
          <w:rFonts w:cs="David" w:hint="cs"/>
          <w:b/>
          <w:bCs/>
          <w:sz w:val="24"/>
          <w:szCs w:val="24"/>
          <w:u w:val="single"/>
          <w:rtl/>
        </w:rPr>
        <w:t xml:space="preserve"> </w:t>
      </w:r>
      <w:r w:rsidR="00E45ED0" w:rsidRPr="00E45ED0">
        <w:rPr>
          <w:rFonts w:cs="David"/>
          <w:b/>
          <w:bCs/>
          <w:sz w:val="24"/>
          <w:szCs w:val="24"/>
          <w:u w:val="single"/>
          <w:rtl/>
        </w:rPr>
        <w:t>–</w:t>
      </w:r>
      <w:r w:rsidR="001E739E">
        <w:rPr>
          <w:rFonts w:cs="David" w:hint="cs"/>
          <w:b/>
          <w:bCs/>
          <w:sz w:val="24"/>
          <w:szCs w:val="24"/>
          <w:u w:val="single"/>
          <w:rtl/>
        </w:rPr>
        <w:t xml:space="preserve"> </w:t>
      </w:r>
      <w:r w:rsidR="00E45ED0" w:rsidRPr="00E45ED0">
        <w:rPr>
          <w:rFonts w:cs="David" w:hint="cs"/>
          <w:b/>
          <w:bCs/>
          <w:sz w:val="24"/>
          <w:szCs w:val="24"/>
          <w:u w:val="single"/>
          <w:rtl/>
        </w:rPr>
        <w:t>(</w:t>
      </w:r>
      <w:r w:rsidR="00D66F14">
        <w:rPr>
          <w:rFonts w:cs="David" w:hint="cs"/>
          <w:b/>
          <w:bCs/>
          <w:sz w:val="24"/>
          <w:szCs w:val="24"/>
          <w:u w:val="single"/>
          <w:rtl/>
        </w:rPr>
        <w:t>50</w:t>
      </w:r>
      <w:r w:rsidR="00B4543A">
        <w:rPr>
          <w:rFonts w:cs="David" w:hint="cs"/>
          <w:b/>
          <w:bCs/>
          <w:sz w:val="24"/>
          <w:szCs w:val="24"/>
          <w:u w:val="single"/>
          <w:rtl/>
        </w:rPr>
        <w:t xml:space="preserve"> נקודות</w:t>
      </w:r>
      <w:r w:rsidR="00E45ED0" w:rsidRPr="00E45ED0">
        <w:rPr>
          <w:rFonts w:cs="David" w:hint="cs"/>
          <w:b/>
          <w:bCs/>
          <w:sz w:val="24"/>
          <w:szCs w:val="24"/>
          <w:u w:val="single"/>
          <w:rtl/>
        </w:rPr>
        <w:t>)</w:t>
      </w:r>
      <w:r w:rsidR="009D41A7" w:rsidRPr="00350B04">
        <w:rPr>
          <w:rFonts w:cs="David" w:hint="cs"/>
          <w:b/>
          <w:bCs/>
          <w:sz w:val="28"/>
          <w:szCs w:val="28"/>
          <w:u w:val="single"/>
          <w:rtl/>
        </w:rPr>
        <w:t xml:space="preserve"> </w:t>
      </w:r>
    </w:p>
    <w:p w:rsidR="00580753" w:rsidRDefault="006879BF" w:rsidP="00B8716B">
      <w:pPr>
        <w:spacing w:line="360" w:lineRule="auto"/>
        <w:jc w:val="both"/>
        <w:rPr>
          <w:rFonts w:cs="David"/>
          <w:sz w:val="24"/>
          <w:szCs w:val="24"/>
          <w:rtl/>
        </w:rPr>
      </w:pPr>
      <w:r>
        <w:rPr>
          <w:rFonts w:cs="David" w:hint="cs"/>
          <w:sz w:val="24"/>
          <w:szCs w:val="24"/>
          <w:rtl/>
        </w:rPr>
        <w:t xml:space="preserve">חברת אקסטרה </w:t>
      </w:r>
      <w:r w:rsidR="00580753">
        <w:rPr>
          <w:rFonts w:cs="David" w:hint="cs"/>
          <w:sz w:val="24"/>
          <w:szCs w:val="24"/>
          <w:rtl/>
        </w:rPr>
        <w:t xml:space="preserve">בע"מ </w:t>
      </w:r>
      <w:r>
        <w:rPr>
          <w:rFonts w:cs="David" w:hint="cs"/>
          <w:sz w:val="24"/>
          <w:szCs w:val="24"/>
          <w:rtl/>
        </w:rPr>
        <w:t xml:space="preserve">הוקמה </w:t>
      </w:r>
      <w:r w:rsidR="00B8716B">
        <w:rPr>
          <w:rFonts w:cs="David" w:hint="cs"/>
          <w:sz w:val="24"/>
          <w:szCs w:val="24"/>
          <w:rtl/>
        </w:rPr>
        <w:t xml:space="preserve">בישראל </w:t>
      </w:r>
      <w:r w:rsidR="00580753">
        <w:rPr>
          <w:rFonts w:cs="David" w:hint="cs"/>
          <w:sz w:val="24"/>
          <w:szCs w:val="24"/>
          <w:rtl/>
        </w:rPr>
        <w:t xml:space="preserve">בשנת 2010 </w:t>
      </w:r>
      <w:r>
        <w:rPr>
          <w:rFonts w:cs="David" w:hint="cs"/>
          <w:sz w:val="24"/>
          <w:szCs w:val="24"/>
          <w:rtl/>
        </w:rPr>
        <w:t xml:space="preserve">על ידי </w:t>
      </w:r>
      <w:r w:rsidR="00580753">
        <w:rPr>
          <w:rFonts w:cs="David" w:hint="cs"/>
          <w:sz w:val="24"/>
          <w:szCs w:val="24"/>
          <w:rtl/>
        </w:rPr>
        <w:t xml:space="preserve">שלושה </w:t>
      </w:r>
      <w:r>
        <w:rPr>
          <w:rFonts w:cs="David" w:hint="cs"/>
          <w:sz w:val="24"/>
          <w:szCs w:val="24"/>
          <w:rtl/>
        </w:rPr>
        <w:t>ישראלים</w:t>
      </w:r>
      <w:r w:rsidR="00580753">
        <w:rPr>
          <w:rFonts w:cs="David" w:hint="cs"/>
          <w:sz w:val="24"/>
          <w:szCs w:val="24"/>
          <w:rtl/>
        </w:rPr>
        <w:t xml:space="preserve"> (יוסי, חיים ועידן)</w:t>
      </w:r>
      <w:r>
        <w:rPr>
          <w:rFonts w:cs="David" w:hint="cs"/>
          <w:sz w:val="24"/>
          <w:szCs w:val="24"/>
          <w:rtl/>
        </w:rPr>
        <w:t xml:space="preserve"> ו</w:t>
      </w:r>
      <w:r w:rsidR="00580753">
        <w:rPr>
          <w:rFonts w:cs="David" w:hint="cs"/>
          <w:sz w:val="24"/>
          <w:szCs w:val="24"/>
          <w:rtl/>
        </w:rPr>
        <w:t xml:space="preserve">היא </w:t>
      </w:r>
      <w:r>
        <w:rPr>
          <w:rFonts w:cs="David" w:hint="cs"/>
          <w:sz w:val="24"/>
          <w:szCs w:val="24"/>
          <w:rtl/>
        </w:rPr>
        <w:t xml:space="preserve">עוסקת בתחום האנרגיה הירוקה. </w:t>
      </w:r>
      <w:r w:rsidR="00580753">
        <w:rPr>
          <w:rFonts w:cs="David" w:hint="cs"/>
          <w:sz w:val="24"/>
          <w:szCs w:val="24"/>
          <w:rtl/>
        </w:rPr>
        <w:t>מטרת החברה היתה לייצר פאנלים מיוחדים לאנרגיה סולארית. כל שלושת בעלי המניות המייסדים היו עובדי החברה וזכו ל</w:t>
      </w:r>
      <w:r w:rsidR="00B8716B">
        <w:rPr>
          <w:rFonts w:cs="David" w:hint="cs"/>
          <w:sz w:val="24"/>
          <w:szCs w:val="24"/>
          <w:rtl/>
        </w:rPr>
        <w:t>שכר</w:t>
      </w:r>
      <w:r w:rsidR="00580753">
        <w:rPr>
          <w:rFonts w:cs="David" w:hint="cs"/>
          <w:sz w:val="24"/>
          <w:szCs w:val="24"/>
          <w:rtl/>
        </w:rPr>
        <w:t xml:space="preserve"> מהחברה. </w:t>
      </w:r>
    </w:p>
    <w:p w:rsidR="00580753" w:rsidRDefault="00580753" w:rsidP="00580753">
      <w:pPr>
        <w:spacing w:line="360" w:lineRule="auto"/>
        <w:jc w:val="both"/>
        <w:rPr>
          <w:rFonts w:cs="David"/>
          <w:sz w:val="24"/>
          <w:szCs w:val="24"/>
          <w:rtl/>
        </w:rPr>
      </w:pPr>
    </w:p>
    <w:p w:rsidR="00580753" w:rsidRDefault="00580753" w:rsidP="00B8716B">
      <w:pPr>
        <w:spacing w:line="360" w:lineRule="auto"/>
        <w:jc w:val="both"/>
        <w:rPr>
          <w:rFonts w:cs="David"/>
          <w:sz w:val="24"/>
          <w:szCs w:val="24"/>
          <w:rtl/>
        </w:rPr>
      </w:pPr>
      <w:r>
        <w:rPr>
          <w:rFonts w:cs="David" w:hint="cs"/>
          <w:sz w:val="24"/>
          <w:szCs w:val="24"/>
          <w:rtl/>
        </w:rPr>
        <w:t>בשנת 2012 החליט יוסי לפרוש מעבודתו בחברה, ונותר בעלים של 33% ממניות החברה</w:t>
      </w:r>
      <w:r w:rsidR="00B8716B">
        <w:rPr>
          <w:rFonts w:cs="David" w:hint="cs"/>
          <w:sz w:val="24"/>
          <w:szCs w:val="24"/>
          <w:rtl/>
        </w:rPr>
        <w:t xml:space="preserve"> בלבד</w:t>
      </w:r>
      <w:r>
        <w:rPr>
          <w:rFonts w:cs="David" w:hint="cs"/>
          <w:sz w:val="24"/>
          <w:szCs w:val="24"/>
          <w:rtl/>
        </w:rPr>
        <w:t xml:space="preserve">. חיים ועידן החזיקו ביתר המניות והמשיכו בפעילותם בחברה וגם קיבלו </w:t>
      </w:r>
      <w:r w:rsidR="00B8716B">
        <w:rPr>
          <w:rFonts w:cs="David" w:hint="cs"/>
          <w:sz w:val="24"/>
          <w:szCs w:val="24"/>
          <w:rtl/>
        </w:rPr>
        <w:t>שכר</w:t>
      </w:r>
      <w:r>
        <w:rPr>
          <w:rFonts w:cs="David" w:hint="cs"/>
          <w:sz w:val="24"/>
          <w:szCs w:val="24"/>
          <w:rtl/>
        </w:rPr>
        <w:t xml:space="preserve"> עבור פעולותיהם. </w:t>
      </w:r>
    </w:p>
    <w:p w:rsidR="00580753" w:rsidRDefault="00580753" w:rsidP="00580753">
      <w:pPr>
        <w:spacing w:line="360" w:lineRule="auto"/>
        <w:jc w:val="both"/>
        <w:rPr>
          <w:rFonts w:cs="David"/>
          <w:sz w:val="24"/>
          <w:szCs w:val="24"/>
          <w:rtl/>
        </w:rPr>
      </w:pPr>
    </w:p>
    <w:p w:rsidR="00580753" w:rsidRDefault="00580753" w:rsidP="00B8716B">
      <w:pPr>
        <w:spacing w:line="360" w:lineRule="auto"/>
        <w:jc w:val="both"/>
        <w:rPr>
          <w:rFonts w:cs="David"/>
          <w:sz w:val="24"/>
          <w:szCs w:val="24"/>
          <w:rtl/>
        </w:rPr>
      </w:pPr>
      <w:r>
        <w:rPr>
          <w:rFonts w:cs="David" w:hint="cs"/>
          <w:sz w:val="24"/>
          <w:szCs w:val="24"/>
          <w:rtl/>
        </w:rPr>
        <w:t>לאחר כשלוש שנים, בשנת 2015 החליטו חיים ועידן כי הגיעה העת ל</w:t>
      </w:r>
      <w:r w:rsidR="00B8716B">
        <w:rPr>
          <w:rFonts w:cs="David" w:hint="cs"/>
          <w:sz w:val="24"/>
          <w:szCs w:val="24"/>
          <w:rtl/>
        </w:rPr>
        <w:t xml:space="preserve">התחדשות. </w:t>
      </w:r>
      <w:r>
        <w:rPr>
          <w:rFonts w:cs="David" w:hint="cs"/>
          <w:sz w:val="24"/>
          <w:szCs w:val="24"/>
          <w:rtl/>
        </w:rPr>
        <w:t xml:space="preserve">לכן, הם </w:t>
      </w:r>
      <w:r w:rsidR="00B8716B">
        <w:rPr>
          <w:rFonts w:cs="David" w:hint="cs"/>
          <w:sz w:val="24"/>
          <w:szCs w:val="24"/>
          <w:rtl/>
        </w:rPr>
        <w:t xml:space="preserve">החליטו </w:t>
      </w:r>
      <w:r>
        <w:rPr>
          <w:rFonts w:cs="David" w:hint="cs"/>
          <w:sz w:val="24"/>
          <w:szCs w:val="24"/>
          <w:rtl/>
        </w:rPr>
        <w:t xml:space="preserve">להקים מיזם משותף ונפרד אשר יעסוק ביצירת מוצרים לבית בתחום האנרגיה הסולארית. המיזם הוקם כחברה בישראל בשם מוצרים סולאריים בע"מ. חיים ועידן לא דיווחו ליוסי על המיזם המשותף, למרות שהם העבירו למיזם המשותף אותו הקימו ידע ששייך לחברת אקסטרה.   </w:t>
      </w:r>
    </w:p>
    <w:p w:rsidR="00580753" w:rsidRDefault="00580753" w:rsidP="00580753">
      <w:pPr>
        <w:spacing w:line="360" w:lineRule="auto"/>
        <w:jc w:val="both"/>
        <w:rPr>
          <w:rFonts w:cs="David"/>
          <w:sz w:val="24"/>
          <w:szCs w:val="24"/>
          <w:rtl/>
        </w:rPr>
      </w:pPr>
    </w:p>
    <w:p w:rsidR="00580753" w:rsidRDefault="00580753" w:rsidP="00B8716B">
      <w:pPr>
        <w:spacing w:line="360" w:lineRule="auto"/>
        <w:jc w:val="both"/>
        <w:rPr>
          <w:rFonts w:cs="David"/>
          <w:sz w:val="24"/>
          <w:szCs w:val="24"/>
          <w:rtl/>
        </w:rPr>
      </w:pPr>
      <w:r>
        <w:rPr>
          <w:rFonts w:cs="David" w:hint="cs"/>
          <w:sz w:val="24"/>
          <w:szCs w:val="24"/>
          <w:rtl/>
        </w:rPr>
        <w:t xml:space="preserve">בשנת 2016 הנפיקה חברת אקסטרה בע"מ את מניותיה בניו-יורק, ומאז היא נסחרת בבורסה </w:t>
      </w:r>
      <w:r w:rsidR="00B8716B">
        <w:rPr>
          <w:rFonts w:cs="David" w:hint="cs"/>
          <w:sz w:val="24"/>
          <w:szCs w:val="24"/>
          <w:rtl/>
        </w:rPr>
        <w:t>שם</w:t>
      </w:r>
      <w:r>
        <w:rPr>
          <w:rFonts w:cs="David" w:hint="cs"/>
          <w:sz w:val="24"/>
          <w:szCs w:val="24"/>
          <w:rtl/>
        </w:rPr>
        <w:t xml:space="preserve">. בעקבות ההנפקה דוללו שלושת בעלי המניות המייסדים, והם החזיקו ביחד רק 30% ממניות החברה. גם במועד ההנפקה לא דווח על קיומה של חברת מוצרים סולאריים בע"מ. </w:t>
      </w:r>
    </w:p>
    <w:p w:rsidR="00580753" w:rsidRDefault="00580753" w:rsidP="00580753">
      <w:pPr>
        <w:spacing w:line="360" w:lineRule="auto"/>
        <w:jc w:val="both"/>
        <w:rPr>
          <w:rFonts w:cs="David"/>
          <w:sz w:val="24"/>
          <w:szCs w:val="24"/>
          <w:rtl/>
        </w:rPr>
      </w:pPr>
    </w:p>
    <w:p w:rsidR="006879BF" w:rsidRDefault="00580753" w:rsidP="00B8716B">
      <w:pPr>
        <w:spacing w:line="360" w:lineRule="auto"/>
        <w:jc w:val="both"/>
        <w:rPr>
          <w:rFonts w:cs="David"/>
          <w:sz w:val="24"/>
          <w:szCs w:val="24"/>
          <w:rtl/>
        </w:rPr>
      </w:pPr>
      <w:r>
        <w:rPr>
          <w:rFonts w:cs="David" w:hint="cs"/>
          <w:sz w:val="24"/>
          <w:szCs w:val="24"/>
          <w:rtl/>
        </w:rPr>
        <w:t xml:space="preserve">בשנת 2017 החלה החברה לבחון </w:t>
      </w:r>
      <w:r w:rsidR="006879BF">
        <w:rPr>
          <w:rFonts w:cs="David" w:hint="cs"/>
          <w:sz w:val="24"/>
          <w:szCs w:val="24"/>
          <w:rtl/>
        </w:rPr>
        <w:t xml:space="preserve">אפשרויות לייצר מוצרי לוואי מהאנרגיה הסולארית המיוצרת על ידי </w:t>
      </w:r>
      <w:r w:rsidR="00B8716B">
        <w:rPr>
          <w:rFonts w:cs="David" w:hint="cs"/>
          <w:sz w:val="24"/>
          <w:szCs w:val="24"/>
          <w:rtl/>
        </w:rPr>
        <w:t>ה</w:t>
      </w:r>
      <w:r w:rsidR="006879BF">
        <w:rPr>
          <w:rFonts w:cs="David" w:hint="cs"/>
          <w:sz w:val="24"/>
          <w:szCs w:val="24"/>
          <w:rtl/>
        </w:rPr>
        <w:t xml:space="preserve">פאנלים </w:t>
      </w:r>
      <w:r w:rsidR="00B8716B">
        <w:rPr>
          <w:rFonts w:cs="David" w:hint="cs"/>
          <w:sz w:val="24"/>
          <w:szCs w:val="24"/>
          <w:rtl/>
        </w:rPr>
        <w:t xml:space="preserve">של החברה שמייצרים אנרגיה ירוקה. </w:t>
      </w:r>
      <w:r w:rsidR="006879BF">
        <w:rPr>
          <w:rFonts w:cs="David" w:hint="cs"/>
          <w:sz w:val="24"/>
          <w:szCs w:val="24"/>
          <w:rtl/>
        </w:rPr>
        <w:t xml:space="preserve">ביום 18 בנובמבר 2017 בתוכנית בוקר לגלי צה"ל התראיין </w:t>
      </w:r>
      <w:r>
        <w:rPr>
          <w:rFonts w:cs="David" w:hint="cs"/>
          <w:sz w:val="24"/>
          <w:szCs w:val="24"/>
          <w:rtl/>
        </w:rPr>
        <w:t xml:space="preserve">עידן </w:t>
      </w:r>
      <w:r w:rsidR="006879BF">
        <w:rPr>
          <w:rFonts w:cs="David" w:hint="cs"/>
          <w:sz w:val="24"/>
          <w:szCs w:val="24"/>
          <w:rtl/>
        </w:rPr>
        <w:t>וציין כי החברה ערכה ניסוי שלפיו תתכן פריצת דרך טכנולוגית הנוגעת לאפשרות להפיק מטבעות וירטואליים באמצעות ה</w:t>
      </w:r>
      <w:r w:rsidR="00B8716B">
        <w:rPr>
          <w:rFonts w:cs="David" w:hint="cs"/>
          <w:sz w:val="24"/>
          <w:szCs w:val="24"/>
          <w:rtl/>
        </w:rPr>
        <w:t xml:space="preserve">פאנלים של החברה. </w:t>
      </w:r>
      <w:r>
        <w:rPr>
          <w:rFonts w:cs="David" w:hint="cs"/>
          <w:sz w:val="24"/>
          <w:szCs w:val="24"/>
          <w:rtl/>
        </w:rPr>
        <w:t>עידן הסביר שכריית מטבעות וירטואליים דורשת אנרגיה רבה, ולכן השימוש במוצרי</w:t>
      </w:r>
      <w:r w:rsidR="00B8716B">
        <w:rPr>
          <w:rFonts w:cs="David" w:hint="cs"/>
          <w:sz w:val="24"/>
          <w:szCs w:val="24"/>
          <w:rtl/>
        </w:rPr>
        <w:t xml:space="preserve"> החברה</w:t>
      </w:r>
      <w:r>
        <w:rPr>
          <w:rFonts w:cs="David" w:hint="cs"/>
          <w:sz w:val="24"/>
          <w:szCs w:val="24"/>
          <w:rtl/>
        </w:rPr>
        <w:t xml:space="preserve"> גם לכריית מטבעות וירטואליים תאפשר </w:t>
      </w:r>
      <w:r w:rsidR="006879BF">
        <w:rPr>
          <w:rFonts w:cs="David" w:hint="cs"/>
          <w:sz w:val="24"/>
          <w:szCs w:val="24"/>
          <w:rtl/>
        </w:rPr>
        <w:t xml:space="preserve">להפוך את השימוש </w:t>
      </w:r>
      <w:r w:rsidR="00B8716B">
        <w:rPr>
          <w:rFonts w:cs="David" w:hint="cs"/>
          <w:sz w:val="24"/>
          <w:szCs w:val="24"/>
          <w:rtl/>
        </w:rPr>
        <w:t>בהם</w:t>
      </w:r>
      <w:r w:rsidR="006879BF">
        <w:rPr>
          <w:rFonts w:cs="David" w:hint="cs"/>
          <w:sz w:val="24"/>
          <w:szCs w:val="24"/>
          <w:rtl/>
        </w:rPr>
        <w:t xml:space="preserve"> ליעיל ומשתלם יותר. </w:t>
      </w:r>
      <w:r>
        <w:rPr>
          <w:rFonts w:cs="David" w:hint="cs"/>
          <w:sz w:val="24"/>
          <w:szCs w:val="24"/>
          <w:rtl/>
        </w:rPr>
        <w:t>במסגרת הריאיון הבהיר עידן כי החברה פועלת מזה זמן בשיתוף פעולה עם חברת מוצרים סולאריים בע"מ</w:t>
      </w:r>
      <w:r w:rsidR="00B8716B">
        <w:rPr>
          <w:rFonts w:cs="David" w:hint="cs"/>
          <w:sz w:val="24"/>
          <w:szCs w:val="24"/>
          <w:rtl/>
        </w:rPr>
        <w:t xml:space="preserve"> גם בנושאים אלה</w:t>
      </w:r>
      <w:r>
        <w:rPr>
          <w:rFonts w:cs="David" w:hint="cs"/>
          <w:sz w:val="24"/>
          <w:szCs w:val="24"/>
          <w:rtl/>
        </w:rPr>
        <w:t>.</w:t>
      </w:r>
    </w:p>
    <w:p w:rsidR="00B8716B" w:rsidRDefault="00B8716B" w:rsidP="00580753">
      <w:pPr>
        <w:spacing w:line="360" w:lineRule="auto"/>
        <w:jc w:val="both"/>
        <w:rPr>
          <w:rFonts w:cs="David"/>
          <w:sz w:val="24"/>
          <w:szCs w:val="24"/>
          <w:rtl/>
        </w:rPr>
      </w:pPr>
    </w:p>
    <w:p w:rsidR="006879BF" w:rsidRDefault="006879BF" w:rsidP="00B8716B">
      <w:pPr>
        <w:spacing w:line="360" w:lineRule="auto"/>
        <w:jc w:val="both"/>
        <w:rPr>
          <w:rFonts w:cs="David"/>
          <w:sz w:val="24"/>
          <w:szCs w:val="24"/>
          <w:rtl/>
        </w:rPr>
      </w:pPr>
      <w:r>
        <w:rPr>
          <w:rFonts w:cs="David" w:hint="cs"/>
          <w:sz w:val="24"/>
          <w:szCs w:val="24"/>
          <w:rtl/>
        </w:rPr>
        <w:t xml:space="preserve">כתוצאה מהריאיון העיתונאי הנ"ל שער המניה שעמד </w:t>
      </w:r>
      <w:r w:rsidR="00580753">
        <w:rPr>
          <w:rFonts w:cs="David" w:hint="cs"/>
          <w:sz w:val="24"/>
          <w:szCs w:val="24"/>
          <w:rtl/>
        </w:rPr>
        <w:t xml:space="preserve">באותו מועד </w:t>
      </w:r>
      <w:r>
        <w:rPr>
          <w:rFonts w:cs="David" w:hint="cs"/>
          <w:sz w:val="24"/>
          <w:szCs w:val="24"/>
          <w:rtl/>
        </w:rPr>
        <w:t>על 20 דולר עלה ל- 40 דולר באותו יום. מספר שעות לאחר הריאיון, ולא</w:t>
      </w:r>
      <w:r w:rsidR="00B8716B">
        <w:rPr>
          <w:rFonts w:cs="David" w:hint="cs"/>
          <w:sz w:val="24"/>
          <w:szCs w:val="24"/>
          <w:rtl/>
        </w:rPr>
        <w:t xml:space="preserve">חר שהחברה ראתה כי הריאיון הנ"ל גרם </w:t>
      </w:r>
      <w:r>
        <w:rPr>
          <w:rFonts w:cs="David" w:hint="cs"/>
          <w:sz w:val="24"/>
          <w:szCs w:val="24"/>
          <w:rtl/>
        </w:rPr>
        <w:t xml:space="preserve">להעלאת </w:t>
      </w:r>
      <w:r>
        <w:rPr>
          <w:rFonts w:cs="David" w:hint="cs"/>
          <w:sz w:val="24"/>
          <w:szCs w:val="24"/>
          <w:rtl/>
        </w:rPr>
        <w:lastRenderedPageBreak/>
        <w:t xml:space="preserve">שער המניה באופן דרמטי, הודיעה החברה בדיווח מיידי לציבור כי </w:t>
      </w:r>
      <w:r w:rsidR="00580753">
        <w:rPr>
          <w:rFonts w:cs="David" w:hint="cs"/>
          <w:sz w:val="24"/>
          <w:szCs w:val="24"/>
          <w:rtl/>
        </w:rPr>
        <w:t>היא מבקשת להבהיר ש</w:t>
      </w:r>
      <w:r>
        <w:rPr>
          <w:rFonts w:cs="David" w:hint="cs"/>
          <w:sz w:val="24"/>
          <w:szCs w:val="24"/>
          <w:rtl/>
        </w:rPr>
        <w:t>הניסוי האמור נמצא בשלבים ראשונים בלבד, וכי משמעותו האופרטיבית, אף אם הדבר יצלח, הינה רק ייעול השימוש במוצרי החברה המייצרים אנרגיה סולארית, שכן ניתן יהיה ביום עבודה לייצר מטבעות וירטואליים ב</w:t>
      </w:r>
      <w:r w:rsidR="00580753">
        <w:rPr>
          <w:rFonts w:cs="David" w:hint="cs"/>
          <w:sz w:val="24"/>
          <w:szCs w:val="24"/>
          <w:rtl/>
        </w:rPr>
        <w:t xml:space="preserve">סכומים </w:t>
      </w:r>
      <w:r>
        <w:rPr>
          <w:rFonts w:cs="David" w:hint="cs"/>
          <w:sz w:val="24"/>
          <w:szCs w:val="24"/>
          <w:rtl/>
        </w:rPr>
        <w:t>של 20 סנט בלבד. כן הובהר כי יישום זה כרוך גם בעלויות בכל הנוגע לייצור של המערכת הסולארית שהיקפן טרם הוברר. כן הובהר כי בשלב זה מדובר בניסוי בלבד, והחברה טרם החליטה אם להמשיך בו.</w:t>
      </w:r>
    </w:p>
    <w:p w:rsidR="006879BF" w:rsidRDefault="006879BF" w:rsidP="006879BF">
      <w:pPr>
        <w:spacing w:line="360" w:lineRule="auto"/>
        <w:jc w:val="both"/>
        <w:rPr>
          <w:rFonts w:cs="David"/>
          <w:sz w:val="24"/>
          <w:szCs w:val="24"/>
          <w:rtl/>
        </w:rPr>
      </w:pPr>
    </w:p>
    <w:p w:rsidR="00B8716B" w:rsidRDefault="006879BF" w:rsidP="00B8716B">
      <w:pPr>
        <w:spacing w:line="360" w:lineRule="auto"/>
        <w:jc w:val="both"/>
        <w:rPr>
          <w:rFonts w:cs="David"/>
          <w:sz w:val="24"/>
          <w:szCs w:val="24"/>
          <w:rtl/>
        </w:rPr>
      </w:pPr>
      <w:r>
        <w:rPr>
          <w:rFonts w:cs="David" w:hint="cs"/>
          <w:sz w:val="24"/>
          <w:szCs w:val="24"/>
          <w:rtl/>
        </w:rPr>
        <w:t xml:space="preserve">בעקבות הדיווח האמור, </w:t>
      </w:r>
      <w:r w:rsidR="00580753">
        <w:rPr>
          <w:rFonts w:cs="David" w:hint="cs"/>
          <w:sz w:val="24"/>
          <w:szCs w:val="24"/>
          <w:rtl/>
        </w:rPr>
        <w:t xml:space="preserve">ביום 19 בנובמבר 2017 </w:t>
      </w:r>
      <w:r>
        <w:rPr>
          <w:rFonts w:cs="David" w:hint="cs"/>
          <w:sz w:val="24"/>
          <w:szCs w:val="24"/>
          <w:rtl/>
        </w:rPr>
        <w:t xml:space="preserve">צנח מחיר המניה ל- </w:t>
      </w:r>
      <w:r w:rsidR="00554417">
        <w:rPr>
          <w:rFonts w:cs="David" w:hint="cs"/>
          <w:sz w:val="24"/>
          <w:szCs w:val="24"/>
          <w:rtl/>
        </w:rPr>
        <w:t>30 דולר</w:t>
      </w:r>
      <w:r w:rsidR="00580753">
        <w:rPr>
          <w:rFonts w:cs="David" w:hint="cs"/>
          <w:sz w:val="24"/>
          <w:szCs w:val="24"/>
          <w:rtl/>
        </w:rPr>
        <w:t xml:space="preserve">. </w:t>
      </w:r>
    </w:p>
    <w:p w:rsidR="00B8716B" w:rsidRDefault="00B8716B" w:rsidP="00B8716B">
      <w:pPr>
        <w:spacing w:line="360" w:lineRule="auto"/>
        <w:jc w:val="both"/>
        <w:rPr>
          <w:rFonts w:cs="David"/>
          <w:sz w:val="24"/>
          <w:szCs w:val="24"/>
          <w:rtl/>
        </w:rPr>
      </w:pPr>
    </w:p>
    <w:p w:rsidR="00580753" w:rsidRDefault="00580753" w:rsidP="00B8716B">
      <w:pPr>
        <w:spacing w:line="360" w:lineRule="auto"/>
        <w:jc w:val="both"/>
        <w:rPr>
          <w:rFonts w:cs="David"/>
          <w:sz w:val="24"/>
          <w:szCs w:val="24"/>
          <w:rtl/>
        </w:rPr>
      </w:pPr>
      <w:r>
        <w:rPr>
          <w:rFonts w:cs="David" w:hint="cs"/>
          <w:sz w:val="24"/>
          <w:szCs w:val="24"/>
          <w:rtl/>
        </w:rPr>
        <w:t xml:space="preserve">ביום 22 בנובמבר 2017 הבהירה החברה כי חברת מוצרים סולאריים בע"מ הינה חברה ששייכת לשניים ממיסדיה. בעקבות זאת צנח מחיר המניה ל- 18 דולר. </w:t>
      </w:r>
    </w:p>
    <w:p w:rsidR="00580753" w:rsidRDefault="00580753" w:rsidP="00580753">
      <w:pPr>
        <w:spacing w:line="360" w:lineRule="auto"/>
        <w:jc w:val="both"/>
        <w:rPr>
          <w:rFonts w:cs="David"/>
          <w:sz w:val="24"/>
          <w:szCs w:val="24"/>
          <w:rtl/>
        </w:rPr>
      </w:pPr>
    </w:p>
    <w:p w:rsidR="00580753" w:rsidRDefault="00580753" w:rsidP="00580753">
      <w:pPr>
        <w:spacing w:line="360" w:lineRule="auto"/>
        <w:jc w:val="both"/>
        <w:rPr>
          <w:rFonts w:cs="David"/>
          <w:sz w:val="24"/>
          <w:szCs w:val="24"/>
          <w:rtl/>
        </w:rPr>
      </w:pPr>
      <w:r>
        <w:rPr>
          <w:rFonts w:cs="David" w:hint="cs"/>
          <w:sz w:val="24"/>
          <w:szCs w:val="24"/>
          <w:rtl/>
        </w:rPr>
        <w:t>עד לסוף חודש נובמבר 2017 חזרה המניה למחירה המקורי ערב הריאיון, כלומר ל- 20 דולר.</w:t>
      </w:r>
      <w:r w:rsidR="00B8716B">
        <w:rPr>
          <w:rFonts w:cs="David" w:hint="cs"/>
          <w:sz w:val="24"/>
          <w:szCs w:val="24"/>
          <w:rtl/>
        </w:rPr>
        <w:t xml:space="preserve"> ואולם, יצוין כי במהלך חודש נובמבר שוק המניות היה ער לא רק בתחום האנרגיה הסולארית. </w:t>
      </w:r>
      <w:r>
        <w:rPr>
          <w:rFonts w:cs="David" w:hint="cs"/>
          <w:sz w:val="24"/>
          <w:szCs w:val="24"/>
          <w:rtl/>
        </w:rPr>
        <w:t xml:space="preserve"> </w:t>
      </w:r>
    </w:p>
    <w:p w:rsidR="00580753" w:rsidRDefault="00580753" w:rsidP="00554417">
      <w:pPr>
        <w:spacing w:line="360" w:lineRule="auto"/>
        <w:jc w:val="both"/>
        <w:rPr>
          <w:rFonts w:cs="David"/>
          <w:sz w:val="24"/>
          <w:szCs w:val="24"/>
          <w:rtl/>
        </w:rPr>
      </w:pPr>
    </w:p>
    <w:p w:rsidR="00580753" w:rsidRDefault="00580753" w:rsidP="00580753">
      <w:pPr>
        <w:spacing w:line="360" w:lineRule="auto"/>
        <w:jc w:val="both"/>
        <w:rPr>
          <w:rFonts w:cs="David"/>
          <w:sz w:val="24"/>
          <w:szCs w:val="24"/>
          <w:rtl/>
        </w:rPr>
      </w:pPr>
      <w:r>
        <w:rPr>
          <w:rFonts w:cs="David" w:hint="cs"/>
          <w:sz w:val="24"/>
          <w:szCs w:val="24"/>
          <w:rtl/>
        </w:rPr>
        <w:t xml:space="preserve">ביום 24 בנובמבר 2017 הגיש בעל מניות בקשה לאישור תביעה ייצוגית כנגד חברת אקסטרה בע"מ וכנגד כל המייסדים </w:t>
      </w:r>
      <w:r>
        <w:rPr>
          <w:rFonts w:cs="David"/>
          <w:sz w:val="24"/>
          <w:szCs w:val="24"/>
          <w:rtl/>
        </w:rPr>
        <w:t>–</w:t>
      </w:r>
      <w:r>
        <w:rPr>
          <w:rFonts w:cs="David" w:hint="cs"/>
          <w:sz w:val="24"/>
          <w:szCs w:val="24"/>
          <w:rtl/>
        </w:rPr>
        <w:t xml:space="preserve"> חיים, עידן ויוסי, בטענה לדיוח מטעה וזאת בבית המשפט בניו-יורק. </w:t>
      </w:r>
    </w:p>
    <w:p w:rsidR="00580753" w:rsidRDefault="00580753" w:rsidP="00580753">
      <w:pPr>
        <w:spacing w:line="360" w:lineRule="auto"/>
        <w:jc w:val="both"/>
        <w:rPr>
          <w:rFonts w:cs="David"/>
          <w:sz w:val="24"/>
          <w:szCs w:val="24"/>
          <w:rtl/>
        </w:rPr>
      </w:pPr>
    </w:p>
    <w:p w:rsidR="00B8716B" w:rsidRDefault="00580753" w:rsidP="00580753">
      <w:pPr>
        <w:spacing w:line="360" w:lineRule="auto"/>
        <w:jc w:val="both"/>
        <w:rPr>
          <w:rFonts w:cs="David"/>
          <w:sz w:val="24"/>
          <w:szCs w:val="24"/>
          <w:rtl/>
        </w:rPr>
      </w:pPr>
      <w:r>
        <w:rPr>
          <w:rFonts w:cs="David" w:hint="cs"/>
          <w:sz w:val="24"/>
          <w:szCs w:val="24"/>
          <w:rtl/>
        </w:rPr>
        <w:t xml:space="preserve">באותו יום, ומבלי שהוא יודע על דבר התביעה הנ"ל פנה יוסי לעורך דין ישראלי על מנת לבחון את אפשרויותיו במיצוי זכויותיו הן כלפי חברת אקסטרה בע"מ, הן כלפי </w:t>
      </w:r>
      <w:r w:rsidR="00B8716B">
        <w:rPr>
          <w:rFonts w:cs="David" w:hint="cs"/>
          <w:sz w:val="24"/>
          <w:szCs w:val="24"/>
          <w:rtl/>
        </w:rPr>
        <w:t xml:space="preserve">חברת </w:t>
      </w:r>
      <w:r>
        <w:rPr>
          <w:rFonts w:cs="David" w:hint="cs"/>
          <w:sz w:val="24"/>
          <w:szCs w:val="24"/>
          <w:rtl/>
        </w:rPr>
        <w:t xml:space="preserve">מוצרים סולאריים בע"מ והן כלפי עידן וחיים. </w:t>
      </w:r>
    </w:p>
    <w:p w:rsidR="00B8716B" w:rsidRDefault="00B8716B" w:rsidP="00580753">
      <w:pPr>
        <w:spacing w:line="360" w:lineRule="auto"/>
        <w:jc w:val="both"/>
        <w:rPr>
          <w:rFonts w:cs="David"/>
          <w:sz w:val="24"/>
          <w:szCs w:val="24"/>
          <w:rtl/>
        </w:rPr>
      </w:pPr>
    </w:p>
    <w:p w:rsidR="00580753" w:rsidRDefault="00B8716B" w:rsidP="00B8716B">
      <w:pPr>
        <w:spacing w:line="360" w:lineRule="auto"/>
        <w:jc w:val="both"/>
        <w:rPr>
          <w:rFonts w:cs="David"/>
          <w:sz w:val="24"/>
          <w:szCs w:val="24"/>
          <w:rtl/>
        </w:rPr>
      </w:pPr>
      <w:r>
        <w:rPr>
          <w:rFonts w:cs="David" w:hint="cs"/>
          <w:sz w:val="24"/>
          <w:szCs w:val="24"/>
          <w:rtl/>
        </w:rPr>
        <w:t xml:space="preserve">עורך הדין הישראלי בדק את מצב האחזקות של יוסי וגילה כי הוא מחזיק בסך הכל 5% ממניות החברה, וכי במועד ההנפקה של החברה בבורסה לניירות ערך, צומצמה אחזקתו ביחס לאחזקותיהם של שותפיו בחברה, וזאת בשל כך שהוא לא המשיך לעבוד בה. יוסי טען בפני עורך הדין כי לא היה מודע לעניין זה. </w:t>
      </w:r>
    </w:p>
    <w:p w:rsidR="00580753" w:rsidRDefault="00580753" w:rsidP="00580753">
      <w:pPr>
        <w:spacing w:line="360" w:lineRule="auto"/>
        <w:jc w:val="both"/>
        <w:rPr>
          <w:rFonts w:cs="David"/>
          <w:sz w:val="24"/>
          <w:szCs w:val="24"/>
          <w:rtl/>
        </w:rPr>
      </w:pPr>
    </w:p>
    <w:p w:rsidR="00794FFD" w:rsidRDefault="00580753" w:rsidP="001E35AD">
      <w:pPr>
        <w:spacing w:line="360" w:lineRule="auto"/>
        <w:jc w:val="both"/>
        <w:rPr>
          <w:rFonts w:cs="David"/>
          <w:sz w:val="24"/>
          <w:szCs w:val="24"/>
          <w:rtl/>
        </w:rPr>
      </w:pPr>
      <w:r>
        <w:rPr>
          <w:rFonts w:cs="David" w:hint="cs"/>
          <w:sz w:val="24"/>
          <w:szCs w:val="24"/>
          <w:rtl/>
        </w:rPr>
        <w:t>חוו דעתכם על מצבו המשפטי של יוסי ועל האפשרויות העומדות בפניו.</w:t>
      </w:r>
    </w:p>
    <w:p w:rsidR="00AA4EF9" w:rsidRDefault="00AA4EF9" w:rsidP="001E35AD">
      <w:pPr>
        <w:spacing w:line="360" w:lineRule="auto"/>
        <w:jc w:val="both"/>
        <w:rPr>
          <w:rFonts w:cs="David"/>
          <w:sz w:val="24"/>
          <w:szCs w:val="24"/>
          <w:rtl/>
        </w:rPr>
      </w:pPr>
    </w:p>
    <w:p w:rsidR="00AA4EF9" w:rsidRPr="00AA4EF9" w:rsidRDefault="00AA4EF9" w:rsidP="001E35AD">
      <w:pPr>
        <w:spacing w:line="360" w:lineRule="auto"/>
        <w:jc w:val="both"/>
        <w:rPr>
          <w:rFonts w:cs="David"/>
          <w:b/>
          <w:bCs/>
          <w:sz w:val="24"/>
          <w:szCs w:val="24"/>
          <w:u w:val="single"/>
          <w:rtl/>
        </w:rPr>
      </w:pPr>
      <w:r w:rsidRPr="00AA4EF9">
        <w:rPr>
          <w:rFonts w:cs="David" w:hint="cs"/>
          <w:b/>
          <w:bCs/>
          <w:sz w:val="24"/>
          <w:szCs w:val="24"/>
          <w:u w:val="single"/>
          <w:rtl/>
        </w:rPr>
        <w:t>ניתוח המצב המשפטי:</w:t>
      </w:r>
    </w:p>
    <w:p w:rsidR="00AA4EF9" w:rsidRDefault="00AA4EF9" w:rsidP="00AA4EF9">
      <w:pPr>
        <w:pStyle w:val="a3"/>
        <w:numPr>
          <w:ilvl w:val="0"/>
          <w:numId w:val="18"/>
        </w:numPr>
        <w:spacing w:line="360" w:lineRule="auto"/>
        <w:jc w:val="both"/>
        <w:rPr>
          <w:rFonts w:cs="David"/>
          <w:sz w:val="24"/>
          <w:szCs w:val="24"/>
        </w:rPr>
      </w:pPr>
      <w:r w:rsidRPr="00AA4EF9">
        <w:rPr>
          <w:rFonts w:cs="David" w:hint="cs"/>
          <w:sz w:val="24"/>
          <w:szCs w:val="24"/>
          <w:u w:val="single"/>
          <w:rtl/>
        </w:rPr>
        <w:t>קיפוח המיעוט של יוסי</w:t>
      </w:r>
      <w:r>
        <w:rPr>
          <w:rFonts w:cs="David" w:hint="cs"/>
          <w:sz w:val="24"/>
          <w:szCs w:val="24"/>
          <w:rtl/>
        </w:rPr>
        <w:t>: אפשרות להעלאת טענת קיפוח של יוסי בשל הקמת מיזם משותף אליו הועבר ידע של החברה. האם יוסי זכאי לקבל מניות במיזם המשותף? האם זכאי לקבל פיצוי? יש לבחון את מערכת היחסים ולראות האם מדובר היה במעין שותפות, והאם העובדה שיוסי החליט לפרוש מונעת ממנו לקבל סעדים בחברה החדשה.</w:t>
      </w:r>
    </w:p>
    <w:p w:rsidR="00AA4EF9" w:rsidRDefault="00AA4EF9" w:rsidP="00AA4EF9">
      <w:pPr>
        <w:pStyle w:val="a3"/>
        <w:numPr>
          <w:ilvl w:val="0"/>
          <w:numId w:val="18"/>
        </w:numPr>
        <w:spacing w:line="360" w:lineRule="auto"/>
        <w:jc w:val="both"/>
        <w:rPr>
          <w:rFonts w:cs="David"/>
          <w:sz w:val="24"/>
          <w:szCs w:val="24"/>
        </w:rPr>
      </w:pPr>
      <w:r w:rsidRPr="00AA4EF9">
        <w:rPr>
          <w:rFonts w:cs="David" w:hint="cs"/>
          <w:sz w:val="24"/>
          <w:szCs w:val="24"/>
          <w:u w:val="single"/>
          <w:rtl/>
        </w:rPr>
        <w:t>בחינת הריאיון העיתונאי כפרט מטעה לציבור</w:t>
      </w:r>
      <w:r>
        <w:rPr>
          <w:rFonts w:cs="David" w:hint="cs"/>
          <w:sz w:val="24"/>
          <w:szCs w:val="24"/>
          <w:rtl/>
        </w:rPr>
        <w:t>: יש לבחון את משמעות הריאיון, האם ניתן להסתמך עליו ולטעון כי מדובר בפרט מטעה.</w:t>
      </w:r>
    </w:p>
    <w:p w:rsidR="00AA4EF9" w:rsidRDefault="00AA4EF9" w:rsidP="00AA4EF9">
      <w:pPr>
        <w:pStyle w:val="a3"/>
        <w:numPr>
          <w:ilvl w:val="0"/>
          <w:numId w:val="18"/>
        </w:numPr>
        <w:spacing w:line="360" w:lineRule="auto"/>
        <w:jc w:val="both"/>
        <w:rPr>
          <w:rFonts w:cs="David"/>
          <w:sz w:val="24"/>
          <w:szCs w:val="24"/>
        </w:rPr>
      </w:pPr>
      <w:r>
        <w:rPr>
          <w:rFonts w:cs="David" w:hint="cs"/>
          <w:sz w:val="24"/>
          <w:szCs w:val="24"/>
          <w:u w:val="single"/>
          <w:rtl/>
        </w:rPr>
        <w:t xml:space="preserve">הגילוי לציבור בדבר העובדה כי חברת מוצרים סולאריים שייכת לבעלי השליטה: </w:t>
      </w:r>
      <w:r w:rsidRPr="00AA4EF9">
        <w:rPr>
          <w:rFonts w:cs="David" w:hint="cs"/>
          <w:sz w:val="24"/>
          <w:szCs w:val="24"/>
          <w:rtl/>
        </w:rPr>
        <w:t>משמעות הדיווח מבחינת הטעייה של הציבור קודם לכן, לעומת טענה לקיפוח המיעוט.</w:t>
      </w:r>
    </w:p>
    <w:p w:rsidR="00AA4EF9" w:rsidRDefault="00AA4EF9" w:rsidP="00AA4EF9">
      <w:pPr>
        <w:pStyle w:val="a3"/>
        <w:numPr>
          <w:ilvl w:val="0"/>
          <w:numId w:val="18"/>
        </w:numPr>
        <w:spacing w:line="360" w:lineRule="auto"/>
        <w:jc w:val="both"/>
        <w:rPr>
          <w:rFonts w:cs="David"/>
          <w:sz w:val="24"/>
          <w:szCs w:val="24"/>
        </w:rPr>
      </w:pPr>
      <w:r w:rsidRPr="00AA4EF9">
        <w:rPr>
          <w:rFonts w:cs="David" w:hint="cs"/>
          <w:sz w:val="24"/>
          <w:szCs w:val="24"/>
          <w:u w:val="single"/>
          <w:rtl/>
        </w:rPr>
        <w:lastRenderedPageBreak/>
        <w:t>הדילול של יוסי במהלך ההנפקה</w:t>
      </w:r>
      <w:r>
        <w:rPr>
          <w:rFonts w:cs="David" w:hint="cs"/>
          <w:sz w:val="24"/>
          <w:szCs w:val="24"/>
          <w:rtl/>
        </w:rPr>
        <w:t>: טענה לקיפוח המיעוט ובחינת האחריות של יוסי, לנוכח העובדה כי הדברים היו ידועים משום שפורסמו בתשקיף אותו לא קרא.</w:t>
      </w:r>
    </w:p>
    <w:p w:rsidR="00AA4EF9" w:rsidRDefault="00AA4EF9" w:rsidP="00AA4EF9">
      <w:pPr>
        <w:pStyle w:val="a3"/>
        <w:numPr>
          <w:ilvl w:val="0"/>
          <w:numId w:val="18"/>
        </w:numPr>
        <w:spacing w:line="360" w:lineRule="auto"/>
        <w:jc w:val="both"/>
        <w:rPr>
          <w:rFonts w:cs="David" w:hint="cs"/>
          <w:sz w:val="24"/>
          <w:szCs w:val="24"/>
        </w:rPr>
      </w:pPr>
      <w:r>
        <w:rPr>
          <w:rFonts w:cs="David" w:hint="cs"/>
          <w:sz w:val="24"/>
          <w:szCs w:val="24"/>
          <w:u w:val="single"/>
          <w:rtl/>
        </w:rPr>
        <w:t>ניתוח הנזק</w:t>
      </w:r>
      <w:r w:rsidRPr="00AA4EF9">
        <w:rPr>
          <w:rFonts w:cs="David" w:hint="cs"/>
          <w:sz w:val="24"/>
          <w:szCs w:val="24"/>
          <w:rtl/>
        </w:rPr>
        <w:t>:</w:t>
      </w:r>
      <w:r>
        <w:rPr>
          <w:rFonts w:cs="David" w:hint="cs"/>
          <w:sz w:val="24"/>
          <w:szCs w:val="24"/>
          <w:rtl/>
        </w:rPr>
        <w:t xml:space="preserve"> בשים לב לאירועים השונים והשפעתם על מחיר המניה, ניתוח הקבוצות האפשריות השונות. איזו שיטת חישוב הכי מתאימה בהתחשב בתנודות?</w:t>
      </w:r>
      <w:r w:rsidR="00BB45E2">
        <w:rPr>
          <w:rFonts w:cs="David" w:hint="cs"/>
          <w:sz w:val="24"/>
          <w:szCs w:val="24"/>
          <w:rtl/>
        </w:rPr>
        <w:t xml:space="preserve"> מה התוצאות האפשריות?</w:t>
      </w:r>
    </w:p>
    <w:p w:rsidR="00BB45E2" w:rsidRPr="00BB45E2" w:rsidRDefault="00BB45E2" w:rsidP="00BB45E2">
      <w:pPr>
        <w:pStyle w:val="a3"/>
        <w:numPr>
          <w:ilvl w:val="0"/>
          <w:numId w:val="18"/>
        </w:numPr>
        <w:spacing w:line="360" w:lineRule="auto"/>
        <w:jc w:val="both"/>
        <w:rPr>
          <w:rFonts w:cs="David" w:hint="cs"/>
          <w:sz w:val="24"/>
          <w:szCs w:val="24"/>
        </w:rPr>
      </w:pPr>
      <w:r>
        <w:rPr>
          <w:rFonts w:cs="David" w:hint="cs"/>
          <w:sz w:val="24"/>
          <w:szCs w:val="24"/>
          <w:u w:val="single"/>
          <w:rtl/>
        </w:rPr>
        <w:t>ההשלכות (אם יש) של קיום הליך בארה"ב על ההליכים בישראל.</w:t>
      </w:r>
    </w:p>
    <w:p w:rsidR="00BB45E2" w:rsidRPr="00AA4EF9" w:rsidRDefault="00BB45E2" w:rsidP="00BB45E2">
      <w:pPr>
        <w:pStyle w:val="a3"/>
        <w:numPr>
          <w:ilvl w:val="0"/>
          <w:numId w:val="18"/>
        </w:numPr>
        <w:spacing w:line="360" w:lineRule="auto"/>
        <w:jc w:val="both"/>
        <w:rPr>
          <w:rFonts w:cs="David"/>
          <w:sz w:val="24"/>
          <w:szCs w:val="24"/>
          <w:rtl/>
        </w:rPr>
      </w:pPr>
      <w:r>
        <w:rPr>
          <w:rFonts w:cs="David" w:hint="cs"/>
          <w:sz w:val="24"/>
          <w:szCs w:val="24"/>
          <w:u w:val="single"/>
          <w:rtl/>
        </w:rPr>
        <w:t>תשומת לב לכך שיוסי הוא גם נתבע.</w:t>
      </w:r>
    </w:p>
    <w:p w:rsidR="00580753" w:rsidRDefault="00580753" w:rsidP="001E35AD">
      <w:pPr>
        <w:spacing w:line="360" w:lineRule="auto"/>
        <w:jc w:val="both"/>
        <w:rPr>
          <w:rFonts w:cs="David"/>
          <w:sz w:val="24"/>
          <w:szCs w:val="24"/>
          <w:rtl/>
        </w:rPr>
      </w:pPr>
    </w:p>
    <w:p w:rsidR="001E35AD" w:rsidRDefault="001E35AD" w:rsidP="00D66F14">
      <w:pPr>
        <w:spacing w:line="360" w:lineRule="auto"/>
        <w:jc w:val="both"/>
        <w:rPr>
          <w:rFonts w:cs="David"/>
          <w:b/>
          <w:bCs/>
          <w:sz w:val="24"/>
          <w:szCs w:val="24"/>
          <w:u w:val="single"/>
          <w:rtl/>
        </w:rPr>
      </w:pPr>
      <w:r w:rsidRPr="00E8640F">
        <w:rPr>
          <w:rFonts w:cs="David" w:hint="cs"/>
          <w:b/>
          <w:bCs/>
          <w:sz w:val="24"/>
          <w:szCs w:val="24"/>
          <w:u w:val="single"/>
          <w:rtl/>
        </w:rPr>
        <w:t xml:space="preserve">שאלה 2 </w:t>
      </w:r>
      <w:r w:rsidRPr="00E8640F">
        <w:rPr>
          <w:rFonts w:cs="David"/>
          <w:b/>
          <w:bCs/>
          <w:sz w:val="24"/>
          <w:szCs w:val="24"/>
          <w:u w:val="single"/>
          <w:rtl/>
        </w:rPr>
        <w:t>–</w:t>
      </w:r>
      <w:r>
        <w:rPr>
          <w:rFonts w:cs="David" w:hint="cs"/>
          <w:b/>
          <w:bCs/>
          <w:sz w:val="24"/>
          <w:szCs w:val="24"/>
          <w:u w:val="single"/>
          <w:rtl/>
        </w:rPr>
        <w:t xml:space="preserve"> </w:t>
      </w:r>
      <w:r w:rsidR="00B4543A">
        <w:rPr>
          <w:rFonts w:cs="David" w:hint="cs"/>
          <w:b/>
          <w:bCs/>
          <w:sz w:val="24"/>
          <w:szCs w:val="24"/>
          <w:u w:val="single"/>
          <w:rtl/>
        </w:rPr>
        <w:t xml:space="preserve"> (</w:t>
      </w:r>
      <w:r w:rsidR="00D66F14">
        <w:rPr>
          <w:rFonts w:cs="David" w:hint="cs"/>
          <w:b/>
          <w:bCs/>
          <w:sz w:val="24"/>
          <w:szCs w:val="24"/>
          <w:u w:val="single"/>
          <w:rtl/>
        </w:rPr>
        <w:t>50</w:t>
      </w:r>
      <w:r w:rsidR="00B4543A">
        <w:rPr>
          <w:rFonts w:cs="David" w:hint="cs"/>
          <w:b/>
          <w:bCs/>
          <w:sz w:val="24"/>
          <w:szCs w:val="24"/>
          <w:u w:val="single"/>
          <w:rtl/>
        </w:rPr>
        <w:t xml:space="preserve"> נקודות)</w:t>
      </w:r>
    </w:p>
    <w:p w:rsidR="00056E6F" w:rsidRDefault="00C91DAF" w:rsidP="00056E6F">
      <w:pPr>
        <w:spacing w:line="360" w:lineRule="auto"/>
        <w:jc w:val="both"/>
        <w:rPr>
          <w:rFonts w:cs="David"/>
          <w:sz w:val="24"/>
          <w:szCs w:val="24"/>
          <w:rtl/>
        </w:rPr>
      </w:pPr>
      <w:r>
        <w:rPr>
          <w:rFonts w:cs="David" w:hint="cs"/>
          <w:sz w:val="24"/>
          <w:szCs w:val="24"/>
          <w:rtl/>
        </w:rPr>
        <w:t>ב</w:t>
      </w:r>
      <w:r w:rsidRPr="00C91DAF">
        <w:rPr>
          <w:rFonts w:cs="David"/>
          <w:sz w:val="24"/>
          <w:szCs w:val="24"/>
          <w:rtl/>
        </w:rPr>
        <w:t xml:space="preserve">תנ"ג 10466-09-12 </w:t>
      </w:r>
      <w:r w:rsidRPr="00C91DAF">
        <w:rPr>
          <w:rFonts w:cs="David"/>
          <w:b/>
          <w:bCs/>
          <w:sz w:val="24"/>
          <w:szCs w:val="24"/>
          <w:rtl/>
        </w:rPr>
        <w:t xml:space="preserve">חברת השקעות דיסקונט בע"מ </w:t>
      </w:r>
      <w:r w:rsidRPr="00C91DAF">
        <w:rPr>
          <w:rFonts w:cs="David" w:hint="cs"/>
          <w:b/>
          <w:bCs/>
          <w:sz w:val="24"/>
          <w:szCs w:val="24"/>
          <w:rtl/>
        </w:rPr>
        <w:t xml:space="preserve">נ' דנקנר </w:t>
      </w:r>
      <w:r w:rsidRPr="00C91DAF">
        <w:rPr>
          <w:rFonts w:cs="David"/>
          <w:b/>
          <w:bCs/>
          <w:sz w:val="24"/>
          <w:szCs w:val="24"/>
          <w:rtl/>
        </w:rPr>
        <w:t>ואח'</w:t>
      </w:r>
      <w:r>
        <w:rPr>
          <w:rFonts w:cs="David" w:hint="cs"/>
          <w:b/>
          <w:bCs/>
          <w:sz w:val="24"/>
          <w:szCs w:val="24"/>
          <w:rtl/>
        </w:rPr>
        <w:t xml:space="preserve">, </w:t>
      </w:r>
      <w:r>
        <w:rPr>
          <w:rFonts w:cs="David" w:hint="cs"/>
          <w:sz w:val="24"/>
          <w:szCs w:val="24"/>
          <w:rtl/>
        </w:rPr>
        <w:t xml:space="preserve">אושרה הגשתה של תביעה נגזרת שעניינה השקעות של החברה ברכישת השליטה במעריב החזקות וכספים שהזרימה החברה </w:t>
      </w:r>
    </w:p>
    <w:p w:rsidR="00C91DAF" w:rsidRDefault="00C91DAF" w:rsidP="00056E6F">
      <w:pPr>
        <w:spacing w:line="360" w:lineRule="auto"/>
        <w:jc w:val="both"/>
        <w:rPr>
          <w:rFonts w:cs="David"/>
          <w:sz w:val="24"/>
          <w:szCs w:val="24"/>
          <w:rtl/>
        </w:rPr>
      </w:pPr>
      <w:r>
        <w:rPr>
          <w:rFonts w:cs="David" w:hint="cs"/>
          <w:sz w:val="24"/>
          <w:szCs w:val="24"/>
          <w:rtl/>
        </w:rPr>
        <w:t xml:space="preserve">לצורך מניעת קריסת מעריב. </w:t>
      </w:r>
      <w:r w:rsidR="00056E6F">
        <w:rPr>
          <w:rFonts w:cs="David" w:hint="cs"/>
          <w:sz w:val="24"/>
          <w:szCs w:val="24"/>
          <w:rtl/>
        </w:rPr>
        <w:t xml:space="preserve">בית המשפט קבע אז כי התביעה תייחס לדירקטורים שכיהנו אז בדסק"ש רשלנות העולה "כדי פזיזות". </w:t>
      </w:r>
      <w:r>
        <w:rPr>
          <w:rFonts w:cs="David" w:hint="cs"/>
          <w:sz w:val="24"/>
          <w:szCs w:val="24"/>
          <w:rtl/>
        </w:rPr>
        <w:t xml:space="preserve">לאחרונה, התבקש בית המשפט לאשר הסכם פשרה בנוגע לתביעה נגזרת זו לפיה ישולם לחברה סוכם של מאה מיליון ₪ והתביעה תסולק. </w:t>
      </w:r>
      <w:r w:rsidR="00056E6F">
        <w:rPr>
          <w:rFonts w:cs="David" w:hint="cs"/>
          <w:sz w:val="24"/>
          <w:szCs w:val="24"/>
          <w:rtl/>
        </w:rPr>
        <w:t xml:space="preserve">כפי שפורסם בעיתונות, סכום הפשרה ישולם במלואו על ידי חברות הביטוח של הדירקטורים ואילו הדירקטורים עצמם שכבר אינם מכהנים בחברה שעברה לידיים אחרות </w:t>
      </w:r>
      <w:r w:rsidR="00056E6F">
        <w:rPr>
          <w:rFonts w:cs="David"/>
          <w:sz w:val="24"/>
          <w:szCs w:val="24"/>
          <w:rtl/>
        </w:rPr>
        <w:t>–</w:t>
      </w:r>
      <w:r w:rsidR="00056E6F">
        <w:rPr>
          <w:rFonts w:cs="David" w:hint="cs"/>
          <w:sz w:val="24"/>
          <w:szCs w:val="24"/>
          <w:rtl/>
        </w:rPr>
        <w:t xml:space="preserve"> לא ישלמו דבר. </w:t>
      </w:r>
    </w:p>
    <w:p w:rsidR="00CB535B" w:rsidRDefault="00CB535B" w:rsidP="00056E6F">
      <w:pPr>
        <w:spacing w:line="360" w:lineRule="auto"/>
        <w:jc w:val="both"/>
        <w:rPr>
          <w:rFonts w:cs="David"/>
          <w:sz w:val="24"/>
          <w:szCs w:val="24"/>
          <w:rtl/>
        </w:rPr>
      </w:pPr>
    </w:p>
    <w:p w:rsidR="000E38A0" w:rsidRDefault="000E38A0" w:rsidP="00056E6F">
      <w:pPr>
        <w:spacing w:line="360" w:lineRule="auto"/>
        <w:jc w:val="both"/>
        <w:rPr>
          <w:rFonts w:cs="David"/>
          <w:sz w:val="24"/>
          <w:szCs w:val="24"/>
          <w:rtl/>
        </w:rPr>
      </w:pPr>
    </w:p>
    <w:p w:rsidR="00CB535B" w:rsidRPr="00CB535B" w:rsidRDefault="00CB535B" w:rsidP="008F7937">
      <w:pPr>
        <w:spacing w:line="360" w:lineRule="auto"/>
        <w:jc w:val="both"/>
        <w:rPr>
          <w:rFonts w:cs="David"/>
          <w:sz w:val="24"/>
          <w:szCs w:val="24"/>
          <w:u w:val="single"/>
          <w:rtl/>
        </w:rPr>
      </w:pPr>
      <w:r w:rsidRPr="00CB535B">
        <w:rPr>
          <w:rFonts w:cs="David" w:hint="cs"/>
          <w:sz w:val="24"/>
          <w:szCs w:val="24"/>
          <w:u w:val="single"/>
          <w:rtl/>
        </w:rPr>
        <w:t>סעיף א</w:t>
      </w:r>
      <w:r>
        <w:rPr>
          <w:rFonts w:cs="David" w:hint="cs"/>
          <w:sz w:val="24"/>
          <w:szCs w:val="24"/>
          <w:u w:val="single"/>
          <w:rtl/>
        </w:rPr>
        <w:t xml:space="preserve"> (</w:t>
      </w:r>
      <w:r w:rsidR="008F7937">
        <w:rPr>
          <w:rFonts w:cs="David" w:hint="cs"/>
          <w:sz w:val="24"/>
          <w:szCs w:val="24"/>
          <w:u w:val="single"/>
          <w:rtl/>
        </w:rPr>
        <w:t>35</w:t>
      </w:r>
      <w:r>
        <w:rPr>
          <w:rFonts w:cs="David" w:hint="cs"/>
          <w:sz w:val="24"/>
          <w:szCs w:val="24"/>
          <w:u w:val="single"/>
          <w:rtl/>
        </w:rPr>
        <w:t xml:space="preserve"> נקודות)</w:t>
      </w:r>
      <w:r w:rsidRPr="00CB535B">
        <w:rPr>
          <w:rFonts w:cs="David" w:hint="cs"/>
          <w:sz w:val="24"/>
          <w:szCs w:val="24"/>
          <w:u w:val="single"/>
          <w:rtl/>
        </w:rPr>
        <w:t xml:space="preserve">:  </w:t>
      </w:r>
    </w:p>
    <w:p w:rsidR="00056E6F" w:rsidRPr="00CB535B" w:rsidRDefault="00056E6F" w:rsidP="00CB535B">
      <w:pPr>
        <w:spacing w:line="360" w:lineRule="auto"/>
        <w:jc w:val="both"/>
        <w:rPr>
          <w:rFonts w:cs="David"/>
          <w:sz w:val="24"/>
          <w:szCs w:val="24"/>
          <w:rtl/>
        </w:rPr>
      </w:pPr>
      <w:r w:rsidRPr="00CB535B">
        <w:rPr>
          <w:rFonts w:cs="David" w:hint="cs"/>
          <w:sz w:val="24"/>
          <w:szCs w:val="24"/>
          <w:rtl/>
        </w:rPr>
        <w:t>במסגרת החלטתו קבע בית המשפט, כדלקמן:</w:t>
      </w:r>
    </w:p>
    <w:p w:rsidR="00056E6F" w:rsidRDefault="00056E6F" w:rsidP="00056E6F">
      <w:pPr>
        <w:spacing w:line="360" w:lineRule="auto"/>
        <w:jc w:val="both"/>
        <w:rPr>
          <w:rFonts w:cs="David"/>
          <w:sz w:val="24"/>
          <w:szCs w:val="24"/>
          <w:rtl/>
        </w:rPr>
      </w:pPr>
    </w:p>
    <w:p w:rsidR="00056E6F" w:rsidRPr="00056E6F" w:rsidRDefault="00056E6F" w:rsidP="00056E6F">
      <w:pPr>
        <w:spacing w:line="360" w:lineRule="auto"/>
        <w:ind w:left="567" w:right="567"/>
        <w:jc w:val="both"/>
        <w:rPr>
          <w:rFonts w:cs="David"/>
          <w:i/>
          <w:iCs/>
          <w:sz w:val="24"/>
          <w:szCs w:val="24"/>
          <w:rtl/>
        </w:rPr>
      </w:pPr>
      <w:r w:rsidRPr="00056E6F">
        <w:rPr>
          <w:rFonts w:cs="David" w:hint="cs"/>
          <w:i/>
          <w:iCs/>
          <w:sz w:val="24"/>
          <w:szCs w:val="24"/>
          <w:rtl/>
        </w:rPr>
        <w:t xml:space="preserve">19. ויובהר בחינת הסכם פשרה במסגרת </w:t>
      </w:r>
      <w:hyperlink r:id="rId5" w:history="1">
        <w:r w:rsidRPr="00056E6F">
          <w:rPr>
            <w:rFonts w:cs="David"/>
            <w:i/>
            <w:iCs/>
            <w:sz w:val="24"/>
            <w:szCs w:val="24"/>
            <w:rtl/>
          </w:rPr>
          <w:t>סעיף 202</w:t>
        </w:r>
      </w:hyperlink>
      <w:r w:rsidRPr="00056E6F">
        <w:rPr>
          <w:rFonts w:cs="David" w:hint="cs"/>
          <w:i/>
          <w:iCs/>
          <w:sz w:val="24"/>
          <w:szCs w:val="24"/>
          <w:rtl/>
        </w:rPr>
        <w:t xml:space="preserve"> ל</w:t>
      </w:r>
      <w:hyperlink r:id="rId6" w:history="1">
        <w:r w:rsidRPr="00056E6F">
          <w:rPr>
            <w:rFonts w:cs="David"/>
            <w:i/>
            <w:iCs/>
            <w:sz w:val="24"/>
            <w:szCs w:val="24"/>
            <w:rtl/>
          </w:rPr>
          <w:t>חוק החברות</w:t>
        </w:r>
      </w:hyperlink>
      <w:r w:rsidRPr="00056E6F">
        <w:rPr>
          <w:rFonts w:cs="David" w:hint="cs"/>
          <w:i/>
          <w:iCs/>
          <w:sz w:val="24"/>
          <w:szCs w:val="24"/>
          <w:rtl/>
        </w:rPr>
        <w:t xml:space="preserve"> צריכה להיעשות בהתאם לטובת החברה,</w:t>
      </w:r>
      <w:r w:rsidRPr="00056E6F">
        <w:rPr>
          <w:rFonts w:ascii="Arial" w:hAnsi="Arial" w:hint="cs"/>
          <w:i/>
          <w:iCs/>
          <w:noProof w:val="0"/>
          <w:rtl/>
        </w:rPr>
        <w:t xml:space="preserve"> </w:t>
      </w:r>
      <w:r w:rsidRPr="00056E6F">
        <w:rPr>
          <w:rFonts w:cs="David" w:hint="cs"/>
          <w:i/>
          <w:iCs/>
          <w:sz w:val="24"/>
          <w:szCs w:val="24"/>
          <w:rtl/>
        </w:rPr>
        <w:t xml:space="preserve">ולא על פי שיקולים אחרים, כגון חשיבותו הציבורית של התיק, או האינטרס החברתי בבירור הסוגיה המשפטית שבה הוא עוסק. כפי שכבר צוין, תביעה נגזרת היא תביעה אזרחית למימוש זכויותיה של החברה. תביעה כזו יש לנהל כל עוד היא משרתת את החברה בשמה מנוהלת התביעה, ואין מקום להמשיך בניהולה בניגוד לרצונה ולטובתה של החברה בשם אינטרס אחר, חשוב ככל שיהיה. </w:t>
      </w:r>
    </w:p>
    <w:p w:rsidR="00056E6F" w:rsidRPr="00056E6F" w:rsidRDefault="00056E6F" w:rsidP="00056E6F">
      <w:pPr>
        <w:spacing w:line="360" w:lineRule="auto"/>
        <w:ind w:left="567" w:right="567" w:hanging="567"/>
        <w:jc w:val="both"/>
        <w:rPr>
          <w:rFonts w:ascii="Arial" w:hAnsi="Arial"/>
          <w:i/>
          <w:iCs/>
          <w:noProof w:val="0"/>
          <w:rtl/>
        </w:rPr>
      </w:pPr>
    </w:p>
    <w:p w:rsidR="00056E6F" w:rsidRPr="00056E6F" w:rsidRDefault="00056E6F" w:rsidP="00056E6F">
      <w:pPr>
        <w:spacing w:line="360" w:lineRule="auto"/>
        <w:ind w:left="567" w:right="567"/>
        <w:jc w:val="both"/>
        <w:rPr>
          <w:rFonts w:cs="David"/>
          <w:i/>
          <w:iCs/>
          <w:sz w:val="24"/>
          <w:szCs w:val="24"/>
          <w:rtl/>
        </w:rPr>
      </w:pPr>
      <w:r w:rsidRPr="00056E6F">
        <w:rPr>
          <w:rFonts w:cs="David" w:hint="cs"/>
          <w:i/>
          <w:iCs/>
          <w:sz w:val="24"/>
          <w:szCs w:val="24"/>
          <w:rtl/>
        </w:rPr>
        <w:t>20. לאור האמור לעיל, המסקנה המתבקשת היא שיש לאשר את התקשרות החברה בהסכם הפשרה, ולתת להסכם הפשרה תוקף מחייב ביחסי החברה והנתבעים.</w:t>
      </w:r>
    </w:p>
    <w:p w:rsidR="00056E6F" w:rsidRDefault="00056E6F" w:rsidP="00056E6F">
      <w:pPr>
        <w:spacing w:line="360" w:lineRule="auto"/>
        <w:jc w:val="both"/>
        <w:rPr>
          <w:rFonts w:cs="David"/>
          <w:sz w:val="24"/>
          <w:szCs w:val="24"/>
          <w:rtl/>
        </w:rPr>
      </w:pPr>
    </w:p>
    <w:p w:rsidR="00C91DAF" w:rsidRDefault="00056E6F" w:rsidP="00CB535B">
      <w:pPr>
        <w:spacing w:line="360" w:lineRule="auto"/>
        <w:jc w:val="both"/>
        <w:rPr>
          <w:rFonts w:cs="David"/>
          <w:sz w:val="24"/>
          <w:szCs w:val="24"/>
          <w:rtl/>
        </w:rPr>
      </w:pPr>
      <w:r>
        <w:rPr>
          <w:rFonts w:cs="David" w:hint="cs"/>
          <w:sz w:val="24"/>
          <w:szCs w:val="24"/>
          <w:rtl/>
        </w:rPr>
        <w:t xml:space="preserve">חוו דעתכם על קביעה זו לאור השיקולים שנלמדו בכיתה בדבר ניהול הליך של תביעה נגזרת. </w:t>
      </w:r>
    </w:p>
    <w:p w:rsidR="00AA4EF9" w:rsidRDefault="00AA4EF9" w:rsidP="00CB535B">
      <w:pPr>
        <w:spacing w:line="360" w:lineRule="auto"/>
        <w:jc w:val="both"/>
        <w:rPr>
          <w:rFonts w:cs="David"/>
          <w:sz w:val="24"/>
          <w:szCs w:val="24"/>
          <w:rtl/>
        </w:rPr>
      </w:pPr>
    </w:p>
    <w:p w:rsidR="00AA4EF9" w:rsidRDefault="00A47095" w:rsidP="00CB535B">
      <w:pPr>
        <w:spacing w:line="360" w:lineRule="auto"/>
        <w:jc w:val="both"/>
        <w:rPr>
          <w:rFonts w:cs="David"/>
          <w:sz w:val="24"/>
          <w:szCs w:val="24"/>
          <w:rtl/>
        </w:rPr>
      </w:pPr>
      <w:r>
        <w:rPr>
          <w:rFonts w:cs="David" w:hint="cs"/>
          <w:b/>
          <w:bCs/>
          <w:sz w:val="24"/>
          <w:szCs w:val="24"/>
          <w:u w:val="single"/>
          <w:rtl/>
        </w:rPr>
        <w:t>היבטים</w:t>
      </w:r>
      <w:r w:rsidR="00AA4EF9" w:rsidRPr="00AA4EF9">
        <w:rPr>
          <w:rFonts w:cs="David" w:hint="cs"/>
          <w:b/>
          <w:bCs/>
          <w:sz w:val="24"/>
          <w:szCs w:val="24"/>
          <w:u w:val="single"/>
          <w:rtl/>
        </w:rPr>
        <w:t xml:space="preserve"> רלבנטיים במסגרת הפתרון</w:t>
      </w:r>
      <w:r w:rsidR="00AA4EF9">
        <w:rPr>
          <w:rFonts w:cs="David" w:hint="cs"/>
          <w:sz w:val="24"/>
          <w:szCs w:val="24"/>
          <w:rtl/>
        </w:rPr>
        <w:t>:</w:t>
      </w:r>
    </w:p>
    <w:p w:rsidR="00A47095" w:rsidRDefault="00A47095" w:rsidP="00A47095">
      <w:pPr>
        <w:pStyle w:val="a3"/>
        <w:numPr>
          <w:ilvl w:val="0"/>
          <w:numId w:val="19"/>
        </w:numPr>
        <w:spacing w:line="360" w:lineRule="auto"/>
        <w:jc w:val="both"/>
        <w:rPr>
          <w:rFonts w:cs="David"/>
          <w:sz w:val="24"/>
          <w:szCs w:val="24"/>
        </w:rPr>
      </w:pPr>
      <w:r w:rsidRPr="00A47095">
        <w:rPr>
          <w:rFonts w:cs="David" w:hint="cs"/>
          <w:sz w:val="24"/>
          <w:szCs w:val="24"/>
          <w:u w:val="single"/>
          <w:rtl/>
        </w:rPr>
        <w:t>המשמעות של החלטת אישור לתביעה נגזרת</w:t>
      </w:r>
      <w:r>
        <w:rPr>
          <w:rFonts w:cs="David" w:hint="cs"/>
          <w:sz w:val="24"/>
          <w:szCs w:val="24"/>
          <w:rtl/>
        </w:rPr>
        <w:t xml:space="preserve"> </w:t>
      </w:r>
      <w:r>
        <w:rPr>
          <w:rFonts w:cs="David"/>
          <w:sz w:val="24"/>
          <w:szCs w:val="24"/>
          <w:rtl/>
        </w:rPr>
        <w:t>–</w:t>
      </w:r>
      <w:r>
        <w:rPr>
          <w:rFonts w:cs="David" w:hint="cs"/>
          <w:sz w:val="24"/>
          <w:szCs w:val="24"/>
          <w:rtl/>
        </w:rPr>
        <w:t xml:space="preserve"> השאלה אם העובדה שבית המשפט קבע כי הדירקטורים נהגו בפזיזות צריכה לחייב גם להסדר הפשרה. בהקשר זה יש לתת את הדעת על כך שהחלטה לאישור תביעה נגזרת משמעותה כי קיים בסיס לכאורה לקיומה של עילת תביעה לטובת החברה וניהול ההליך לטובת החברה, אך אין בהחלטה כדי </w:t>
      </w:r>
      <w:r>
        <w:rPr>
          <w:rFonts w:cs="David" w:hint="cs"/>
          <w:sz w:val="24"/>
          <w:szCs w:val="24"/>
          <w:rtl/>
        </w:rPr>
        <w:lastRenderedPageBreak/>
        <w:t xml:space="preserve">לחייבת בהליך עצמו. לכן, אין מניעה כי הצדדים יגיעו להסכמה שיש בה כדי לסתור לכאורה את ההחלטה על אישור התביעה הנגזרת. </w:t>
      </w:r>
    </w:p>
    <w:p w:rsidR="00AA4EF9" w:rsidRDefault="00A47095" w:rsidP="00BB45E2">
      <w:pPr>
        <w:pStyle w:val="a3"/>
        <w:numPr>
          <w:ilvl w:val="0"/>
          <w:numId w:val="19"/>
        </w:numPr>
        <w:spacing w:line="360" w:lineRule="auto"/>
        <w:jc w:val="both"/>
        <w:rPr>
          <w:rFonts w:cs="David"/>
          <w:sz w:val="24"/>
          <w:szCs w:val="24"/>
        </w:rPr>
      </w:pPr>
      <w:r w:rsidRPr="00A47095">
        <w:rPr>
          <w:rFonts w:cs="David" w:hint="cs"/>
          <w:sz w:val="24"/>
          <w:szCs w:val="24"/>
          <w:u w:val="single"/>
          <w:rtl/>
        </w:rPr>
        <w:t>שיקולי הרתעה ומדיניות</w:t>
      </w:r>
      <w:r>
        <w:rPr>
          <w:rFonts w:cs="David" w:hint="cs"/>
          <w:sz w:val="24"/>
          <w:szCs w:val="24"/>
          <w:rtl/>
        </w:rPr>
        <w:t xml:space="preserve">: </w:t>
      </w:r>
      <w:r w:rsidR="00AA4EF9" w:rsidRPr="00AA4EF9">
        <w:rPr>
          <w:rFonts w:cs="David" w:hint="cs"/>
          <w:sz w:val="24"/>
          <w:szCs w:val="24"/>
          <w:rtl/>
        </w:rPr>
        <w:t xml:space="preserve">ליטיגציה תאגידית </w:t>
      </w:r>
      <w:r>
        <w:rPr>
          <w:rFonts w:cs="David" w:hint="cs"/>
          <w:sz w:val="24"/>
          <w:szCs w:val="24"/>
          <w:rtl/>
        </w:rPr>
        <w:t xml:space="preserve">הינה </w:t>
      </w:r>
      <w:r w:rsidR="00AA4EF9" w:rsidRPr="00AA4EF9">
        <w:rPr>
          <w:rFonts w:cs="David" w:hint="cs"/>
          <w:sz w:val="24"/>
          <w:szCs w:val="24"/>
          <w:rtl/>
        </w:rPr>
        <w:t>מנגנון לאכיפה פרטית.</w:t>
      </w:r>
      <w:r w:rsidR="00AA4EF9">
        <w:rPr>
          <w:rFonts w:cs="David" w:hint="cs"/>
          <w:sz w:val="24"/>
          <w:szCs w:val="24"/>
          <w:rtl/>
        </w:rPr>
        <w:t xml:space="preserve"> </w:t>
      </w:r>
      <w:r>
        <w:rPr>
          <w:rFonts w:cs="David" w:hint="cs"/>
          <w:sz w:val="24"/>
          <w:szCs w:val="24"/>
          <w:rtl/>
        </w:rPr>
        <w:t xml:space="preserve">במסגרת הפשרה הדגש היה על טובת החברה ולא על שיקולםי מערכתיים. במסגרת התשובה, נדרש לשקול </w:t>
      </w:r>
      <w:r w:rsidR="00AA4EF9" w:rsidRPr="00AA4EF9">
        <w:rPr>
          <w:rFonts w:cs="David" w:hint="cs"/>
          <w:sz w:val="24"/>
          <w:szCs w:val="24"/>
          <w:rtl/>
        </w:rPr>
        <w:t xml:space="preserve">האם יש להתחשב </w:t>
      </w:r>
      <w:r>
        <w:rPr>
          <w:rFonts w:cs="David" w:hint="cs"/>
          <w:sz w:val="24"/>
          <w:szCs w:val="24"/>
          <w:rtl/>
        </w:rPr>
        <w:t xml:space="preserve">בשיקולי ההרתעה במסגרת אישור הסדר פשרה. </w:t>
      </w:r>
      <w:r w:rsidR="00BB45E2" w:rsidRPr="00BB45E2">
        <w:rPr>
          <w:rFonts w:cs="David" w:hint="cs"/>
          <w:b/>
          <w:bCs/>
          <w:sz w:val="24"/>
          <w:szCs w:val="24"/>
          <w:rtl/>
        </w:rPr>
        <w:t>זו נקודה מרכזית</w:t>
      </w:r>
      <w:r w:rsidR="00BB45E2">
        <w:rPr>
          <w:rFonts w:cs="David" w:hint="cs"/>
          <w:b/>
          <w:bCs/>
          <w:sz w:val="24"/>
          <w:szCs w:val="24"/>
          <w:rtl/>
        </w:rPr>
        <w:t xml:space="preserve"> שנדרש להתייחס אליה בהרחבה בתשובה. </w:t>
      </w:r>
    </w:p>
    <w:p w:rsidR="00AA4EF9" w:rsidRPr="00AA4EF9" w:rsidRDefault="00A47095" w:rsidP="00A47095">
      <w:pPr>
        <w:pStyle w:val="a3"/>
        <w:numPr>
          <w:ilvl w:val="0"/>
          <w:numId w:val="19"/>
        </w:numPr>
        <w:spacing w:line="360" w:lineRule="auto"/>
        <w:jc w:val="both"/>
        <w:rPr>
          <w:rFonts w:cs="David"/>
          <w:sz w:val="24"/>
          <w:szCs w:val="24"/>
          <w:rtl/>
        </w:rPr>
      </w:pPr>
      <w:r w:rsidRPr="00A47095">
        <w:rPr>
          <w:rFonts w:cs="David" w:hint="cs"/>
          <w:sz w:val="24"/>
          <w:szCs w:val="24"/>
          <w:u w:val="single"/>
          <w:rtl/>
        </w:rPr>
        <w:t>שיקולי הרתעה מבחינת החברה</w:t>
      </w:r>
      <w:r>
        <w:rPr>
          <w:rFonts w:cs="David" w:hint="cs"/>
          <w:sz w:val="24"/>
          <w:szCs w:val="24"/>
          <w:rtl/>
        </w:rPr>
        <w:t xml:space="preserve">: האם טובת החברה מצריכה כי </w:t>
      </w:r>
      <w:r w:rsidR="00AA4EF9">
        <w:rPr>
          <w:rFonts w:cs="David" w:hint="cs"/>
          <w:sz w:val="24"/>
          <w:szCs w:val="24"/>
          <w:rtl/>
        </w:rPr>
        <w:t>הדירקטורים יישאו בעלויות שנובעות מהחלטותיהם הכושלות?</w:t>
      </w:r>
    </w:p>
    <w:p w:rsidR="00CB535B" w:rsidRDefault="00CB535B" w:rsidP="00CB535B">
      <w:pPr>
        <w:spacing w:line="360" w:lineRule="auto"/>
        <w:jc w:val="both"/>
        <w:rPr>
          <w:rFonts w:cs="David"/>
          <w:sz w:val="24"/>
          <w:szCs w:val="24"/>
          <w:rtl/>
        </w:rPr>
      </w:pPr>
    </w:p>
    <w:p w:rsidR="00CB535B" w:rsidRPr="00CB535B" w:rsidRDefault="00CB535B" w:rsidP="008F7937">
      <w:pPr>
        <w:spacing w:line="360" w:lineRule="auto"/>
        <w:jc w:val="both"/>
        <w:rPr>
          <w:rFonts w:cs="David"/>
          <w:sz w:val="24"/>
          <w:szCs w:val="24"/>
          <w:u w:val="single"/>
        </w:rPr>
      </w:pPr>
      <w:r w:rsidRPr="00CB535B">
        <w:rPr>
          <w:rFonts w:cs="David" w:hint="cs"/>
          <w:sz w:val="24"/>
          <w:szCs w:val="24"/>
          <w:u w:val="single"/>
          <w:rtl/>
        </w:rPr>
        <w:t>סעיף ב</w:t>
      </w:r>
      <w:r>
        <w:rPr>
          <w:rFonts w:cs="David" w:hint="cs"/>
          <w:sz w:val="24"/>
          <w:szCs w:val="24"/>
          <w:u w:val="single"/>
          <w:rtl/>
        </w:rPr>
        <w:t xml:space="preserve"> (</w:t>
      </w:r>
      <w:r w:rsidR="008F7937">
        <w:rPr>
          <w:rFonts w:cs="David" w:hint="cs"/>
          <w:sz w:val="24"/>
          <w:szCs w:val="24"/>
          <w:u w:val="single"/>
          <w:rtl/>
        </w:rPr>
        <w:t>15</w:t>
      </w:r>
      <w:r>
        <w:rPr>
          <w:rFonts w:cs="David" w:hint="cs"/>
          <w:sz w:val="24"/>
          <w:szCs w:val="24"/>
          <w:u w:val="single"/>
          <w:rtl/>
        </w:rPr>
        <w:t xml:space="preserve"> נקודות)</w:t>
      </w:r>
      <w:r w:rsidRPr="00CB535B">
        <w:rPr>
          <w:rFonts w:cs="David" w:hint="cs"/>
          <w:sz w:val="24"/>
          <w:szCs w:val="24"/>
          <w:u w:val="single"/>
          <w:rtl/>
        </w:rPr>
        <w:t>:</w:t>
      </w:r>
    </w:p>
    <w:p w:rsidR="00C91DAF" w:rsidRPr="00CB535B" w:rsidRDefault="00CB535B" w:rsidP="00CB535B">
      <w:pPr>
        <w:spacing w:line="360" w:lineRule="auto"/>
        <w:jc w:val="both"/>
        <w:rPr>
          <w:rFonts w:cs="David"/>
          <w:sz w:val="24"/>
          <w:szCs w:val="24"/>
        </w:rPr>
      </w:pPr>
      <w:r w:rsidRPr="00CB535B">
        <w:rPr>
          <w:rFonts w:cs="David" w:hint="cs"/>
          <w:sz w:val="24"/>
          <w:szCs w:val="24"/>
          <w:rtl/>
        </w:rPr>
        <w:t>ב</w:t>
      </w:r>
      <w:hyperlink r:id="rId7" w:history="1">
        <w:r w:rsidRPr="00CB535B">
          <w:rPr>
            <w:rFonts w:cs="David"/>
            <w:sz w:val="24"/>
            <w:szCs w:val="24"/>
            <w:rtl/>
          </w:rPr>
          <w:t>רע"א 729/17</w:t>
        </w:r>
      </w:hyperlink>
      <w:r w:rsidRPr="00CB535B">
        <w:rPr>
          <w:rFonts w:cs="David" w:hint="cs"/>
          <w:sz w:val="24"/>
          <w:szCs w:val="24"/>
          <w:rtl/>
        </w:rPr>
        <w:t xml:space="preserve"> </w:t>
      </w:r>
      <w:r w:rsidRPr="00CB535B">
        <w:rPr>
          <w:rFonts w:cs="David" w:hint="cs"/>
          <w:b/>
          <w:bCs/>
          <w:sz w:val="24"/>
          <w:szCs w:val="24"/>
          <w:rtl/>
        </w:rPr>
        <w:t>אפריקה ישראל להשקעות בע"מ נ' אפריקה ישראל בע"מ</w:t>
      </w:r>
      <w:r w:rsidRPr="00CB535B">
        <w:rPr>
          <w:rFonts w:cs="David" w:hint="cs"/>
          <w:sz w:val="24"/>
          <w:szCs w:val="24"/>
          <w:rtl/>
        </w:rPr>
        <w:t xml:space="preserve"> </w:t>
      </w:r>
      <w:r w:rsidRPr="00CB535B">
        <w:rPr>
          <w:rFonts w:cs="David"/>
          <w:sz w:val="24"/>
          <w:szCs w:val="24"/>
          <w:rtl/>
        </w:rPr>
        <w:t xml:space="preserve">[פורסם בנבו] </w:t>
      </w:r>
      <w:r w:rsidRPr="00CB535B">
        <w:rPr>
          <w:rFonts w:cs="David" w:hint="cs"/>
          <w:sz w:val="24"/>
          <w:szCs w:val="24"/>
          <w:rtl/>
        </w:rPr>
        <w:t>(ניתן ב- 31.7.2017) קבע בית המשפט העליון כי בכל הנוגע לניהול הליך התביעה נגזרת</w:t>
      </w:r>
      <w:r w:rsidR="000E38A0">
        <w:rPr>
          <w:rFonts w:cs="David" w:hint="cs"/>
          <w:sz w:val="24"/>
          <w:szCs w:val="24"/>
          <w:rtl/>
        </w:rPr>
        <w:t>,</w:t>
      </w:r>
      <w:r w:rsidRPr="00CB535B">
        <w:rPr>
          <w:rFonts w:cs="David" w:hint="cs"/>
          <w:sz w:val="24"/>
          <w:szCs w:val="24"/>
          <w:rtl/>
        </w:rPr>
        <w:t xml:space="preserve"> הגורם לו נתונה הסמכות הבלעדית לדבר בשמה של החברה הוא התובע הנגזר. כאשר החברה סבורה כי התנהלות התובע הנגזר עשויה לגרום, בסבירות גבוהה וממשית לנזק חמור ובלתי הפיך לחברה, החברה רשאית לערער על אופן התנהלותו של התובע הנגזר לפני בית המשפט הדן בהליך הנגזר. </w:t>
      </w:r>
    </w:p>
    <w:p w:rsidR="00CB535B" w:rsidRDefault="00CB535B" w:rsidP="00CB535B">
      <w:pPr>
        <w:pStyle w:val="a3"/>
        <w:spacing w:line="360" w:lineRule="auto"/>
        <w:jc w:val="both"/>
        <w:rPr>
          <w:rFonts w:cs="David"/>
          <w:sz w:val="24"/>
          <w:szCs w:val="24"/>
          <w:rtl/>
        </w:rPr>
      </w:pPr>
    </w:p>
    <w:p w:rsidR="00CB535B" w:rsidRPr="00CB535B" w:rsidRDefault="00CB535B" w:rsidP="008F7937">
      <w:pPr>
        <w:spacing w:line="360" w:lineRule="auto"/>
        <w:jc w:val="both"/>
        <w:rPr>
          <w:rFonts w:cs="David"/>
          <w:sz w:val="24"/>
          <w:szCs w:val="24"/>
          <w:rtl/>
        </w:rPr>
      </w:pPr>
      <w:r w:rsidRPr="00CB535B">
        <w:rPr>
          <w:rFonts w:cs="David" w:hint="cs"/>
          <w:sz w:val="24"/>
          <w:szCs w:val="24"/>
          <w:rtl/>
        </w:rPr>
        <w:t>במקרה דנן, הצעת הפשרה הוצעה במסגרת הליך גישור, כאשר באי כוח החברה בתביעה הנגזרת התנגדו לה</w:t>
      </w:r>
      <w:r>
        <w:rPr>
          <w:rFonts w:cs="David" w:hint="cs"/>
          <w:sz w:val="24"/>
          <w:szCs w:val="24"/>
          <w:rtl/>
        </w:rPr>
        <w:t xml:space="preserve"> במסגרת הליך הגישור</w:t>
      </w:r>
      <w:r w:rsidRPr="00CB535B">
        <w:rPr>
          <w:rFonts w:cs="David" w:hint="cs"/>
          <w:sz w:val="24"/>
          <w:szCs w:val="24"/>
          <w:rtl/>
        </w:rPr>
        <w:t>, אך החברה החליטה להיענות להצעה</w:t>
      </w:r>
      <w:r>
        <w:rPr>
          <w:rFonts w:cs="David" w:hint="cs"/>
          <w:sz w:val="24"/>
          <w:szCs w:val="24"/>
          <w:rtl/>
        </w:rPr>
        <w:t xml:space="preserve"> לאחריו</w:t>
      </w:r>
      <w:r w:rsidRPr="00CB535B">
        <w:rPr>
          <w:rFonts w:cs="David" w:hint="cs"/>
          <w:sz w:val="24"/>
          <w:szCs w:val="24"/>
          <w:rtl/>
        </w:rPr>
        <w:t xml:space="preserve">. חוו דעתכם </w:t>
      </w:r>
      <w:r>
        <w:rPr>
          <w:rFonts w:cs="David" w:hint="cs"/>
          <w:sz w:val="24"/>
          <w:szCs w:val="24"/>
          <w:rtl/>
        </w:rPr>
        <w:t>על המעמד שיש להעניק לחברה במסגרת הסדר פשרה</w:t>
      </w:r>
      <w:r w:rsidR="008F7937">
        <w:rPr>
          <w:rFonts w:cs="David" w:hint="cs"/>
          <w:sz w:val="24"/>
          <w:szCs w:val="24"/>
          <w:rtl/>
        </w:rPr>
        <w:t xml:space="preserve"> בתביעה נגזרת והאופן שיש לתת ביטוי למעמד זה</w:t>
      </w:r>
      <w:r>
        <w:rPr>
          <w:rFonts w:cs="David" w:hint="cs"/>
          <w:sz w:val="24"/>
          <w:szCs w:val="24"/>
          <w:rtl/>
        </w:rPr>
        <w:t xml:space="preserve">, בהתחשב בכלל השיקולים שנלמדו בכיתה. </w:t>
      </w:r>
    </w:p>
    <w:p w:rsidR="00CB535B" w:rsidRPr="00CB535B" w:rsidRDefault="00CB535B" w:rsidP="00CB535B">
      <w:pPr>
        <w:spacing w:line="360" w:lineRule="auto"/>
        <w:jc w:val="both"/>
        <w:rPr>
          <w:rFonts w:ascii="Arial" w:hAnsi="Arial"/>
          <w:noProof w:val="0"/>
          <w:rtl/>
        </w:rPr>
      </w:pPr>
    </w:p>
    <w:p w:rsidR="00AA4EF9" w:rsidRDefault="00A47095" w:rsidP="00AA4EF9">
      <w:pPr>
        <w:spacing w:line="360" w:lineRule="auto"/>
        <w:jc w:val="both"/>
        <w:rPr>
          <w:rFonts w:cs="David"/>
          <w:sz w:val="24"/>
          <w:szCs w:val="24"/>
          <w:rtl/>
        </w:rPr>
      </w:pPr>
      <w:r>
        <w:rPr>
          <w:rFonts w:cs="David" w:hint="cs"/>
          <w:b/>
          <w:bCs/>
          <w:sz w:val="24"/>
          <w:szCs w:val="24"/>
          <w:u w:val="single"/>
          <w:rtl/>
        </w:rPr>
        <w:t>היבטים</w:t>
      </w:r>
      <w:r w:rsidR="00AA4EF9" w:rsidRPr="00AA4EF9">
        <w:rPr>
          <w:rFonts w:cs="David" w:hint="cs"/>
          <w:b/>
          <w:bCs/>
          <w:sz w:val="24"/>
          <w:szCs w:val="24"/>
          <w:u w:val="single"/>
          <w:rtl/>
        </w:rPr>
        <w:t xml:space="preserve"> רלבנטיים במסגרת הפתרון</w:t>
      </w:r>
      <w:r w:rsidR="00AA4EF9">
        <w:rPr>
          <w:rFonts w:cs="David" w:hint="cs"/>
          <w:sz w:val="24"/>
          <w:szCs w:val="24"/>
          <w:rtl/>
        </w:rPr>
        <w:t>:</w:t>
      </w:r>
    </w:p>
    <w:p w:rsidR="00A47095" w:rsidRPr="00A47095" w:rsidRDefault="00A47095" w:rsidP="00A47095">
      <w:pPr>
        <w:pStyle w:val="a3"/>
        <w:numPr>
          <w:ilvl w:val="0"/>
          <w:numId w:val="19"/>
        </w:numPr>
        <w:spacing w:line="360" w:lineRule="auto"/>
        <w:jc w:val="both"/>
        <w:rPr>
          <w:rFonts w:cs="David"/>
          <w:sz w:val="24"/>
          <w:szCs w:val="24"/>
        </w:rPr>
      </w:pPr>
      <w:r w:rsidRPr="00A47095">
        <w:rPr>
          <w:rFonts w:cs="David" w:hint="cs"/>
          <w:sz w:val="24"/>
          <w:szCs w:val="24"/>
          <w:u w:val="single"/>
          <w:rtl/>
        </w:rPr>
        <w:t>השאלה מצריכה לבחון את השלכת פסק דין אפריקה ישראל על הליכי פשרה</w:t>
      </w:r>
      <w:r w:rsidRPr="00A47095">
        <w:rPr>
          <w:rFonts w:cs="David" w:hint="cs"/>
          <w:sz w:val="24"/>
          <w:szCs w:val="24"/>
          <w:rtl/>
        </w:rPr>
        <w:t xml:space="preserve">. פסק הדין בעניין אפריקה ישראל, קובע כי החברה תוכל להתערב הליך כאשר קיים בסבירות גבוהה וממשית נזק חמור ובלתי הפיך לחברה. במקרה דנן, בית המשפט אישר את הסדר הפשרה, מבלי שהחברה הראתה כי ייגרם לה נזק כאמור. </w:t>
      </w:r>
      <w:r w:rsidR="00AA4EF9" w:rsidRPr="00A47095">
        <w:rPr>
          <w:rFonts w:cs="David" w:hint="cs"/>
          <w:sz w:val="24"/>
          <w:szCs w:val="24"/>
          <w:rtl/>
        </w:rPr>
        <w:t>בניגוד להתערבות בהליך</w:t>
      </w:r>
      <w:r w:rsidRPr="00A47095">
        <w:rPr>
          <w:rFonts w:cs="David" w:hint="cs"/>
          <w:sz w:val="24"/>
          <w:szCs w:val="24"/>
          <w:rtl/>
        </w:rPr>
        <w:t xml:space="preserve"> ממש</w:t>
      </w:r>
      <w:r w:rsidR="00AA4EF9" w:rsidRPr="00A47095">
        <w:rPr>
          <w:rFonts w:cs="David" w:hint="cs"/>
          <w:sz w:val="24"/>
          <w:szCs w:val="24"/>
          <w:rtl/>
        </w:rPr>
        <w:t xml:space="preserve"> כאן מדובר בהתערבות בהגעה לפשרה</w:t>
      </w:r>
      <w:r w:rsidRPr="00A47095">
        <w:rPr>
          <w:rFonts w:cs="David" w:hint="cs"/>
          <w:sz w:val="24"/>
          <w:szCs w:val="24"/>
          <w:rtl/>
        </w:rPr>
        <w:t xml:space="preserve"> והחברה לא התערבה הליך הפשרה אלא רק הסכימה לפשרה, ולכן ניתן לאבחן את פסק הדין אפריקה ישראל ולקבוע כי אינו חל בנסיבות אלה</w:t>
      </w:r>
      <w:r w:rsidR="00AA4EF9" w:rsidRPr="00A47095">
        <w:rPr>
          <w:rFonts w:cs="David" w:hint="cs"/>
          <w:sz w:val="24"/>
          <w:szCs w:val="24"/>
          <w:rtl/>
        </w:rPr>
        <w:t xml:space="preserve">. </w:t>
      </w:r>
    </w:p>
    <w:p w:rsidR="00AA4EF9" w:rsidRDefault="00A47095" w:rsidP="00A47095">
      <w:pPr>
        <w:pStyle w:val="a3"/>
        <w:numPr>
          <w:ilvl w:val="0"/>
          <w:numId w:val="19"/>
        </w:numPr>
        <w:spacing w:line="360" w:lineRule="auto"/>
        <w:jc w:val="both"/>
        <w:rPr>
          <w:rFonts w:cs="David"/>
          <w:sz w:val="24"/>
          <w:szCs w:val="24"/>
        </w:rPr>
      </w:pPr>
      <w:r w:rsidRPr="00A47095">
        <w:rPr>
          <w:rFonts w:cs="David" w:hint="cs"/>
          <w:sz w:val="24"/>
          <w:szCs w:val="24"/>
          <w:u w:val="single"/>
          <w:rtl/>
        </w:rPr>
        <w:t>עם זאת, יש לשקול את שיקולי המדיניות הרלבנטיים</w:t>
      </w:r>
      <w:r>
        <w:rPr>
          <w:rFonts w:cs="David" w:hint="cs"/>
          <w:sz w:val="24"/>
          <w:szCs w:val="24"/>
          <w:rtl/>
        </w:rPr>
        <w:t xml:space="preserve">: האם נכון לקבוע כי החברה לא תוכל להתפשר ללא הסכמת התובע הנגזר? מה היתרונות והחסרונות של קביעה כזו בראי יתר השיקולים? האם מספיק כי התובע הנגזר יוכל להביע עמדתו אל מול בית המשפט? </w:t>
      </w:r>
    </w:p>
    <w:p w:rsidR="00AA4EF9" w:rsidRPr="00AA4EF9" w:rsidRDefault="00A47095" w:rsidP="00A47095">
      <w:pPr>
        <w:pStyle w:val="a3"/>
        <w:numPr>
          <w:ilvl w:val="0"/>
          <w:numId w:val="19"/>
        </w:numPr>
        <w:spacing w:line="360" w:lineRule="auto"/>
        <w:jc w:val="both"/>
        <w:rPr>
          <w:rFonts w:cs="David"/>
          <w:sz w:val="24"/>
          <w:szCs w:val="24"/>
          <w:rtl/>
        </w:rPr>
      </w:pPr>
      <w:r>
        <w:rPr>
          <w:rFonts w:cs="David" w:hint="cs"/>
          <w:sz w:val="24"/>
          <w:szCs w:val="24"/>
          <w:u w:val="single"/>
          <w:rtl/>
        </w:rPr>
        <w:t>ניתוח הפשרה לגופה</w:t>
      </w:r>
      <w:r>
        <w:rPr>
          <w:rFonts w:cs="David" w:hint="cs"/>
          <w:sz w:val="24"/>
          <w:szCs w:val="24"/>
          <w:rtl/>
        </w:rPr>
        <w:t xml:space="preserve">: במסגרת התשובה נדרש להתייחס לשאלה האם הפשרה מיטיבה עם החברה בהיבט זה שהביטוח מפצה את החברה ולא הדירקטורים באופן אישי? </w:t>
      </w:r>
    </w:p>
    <w:p w:rsidR="00CB535B" w:rsidRPr="00CB535B" w:rsidRDefault="00CB535B" w:rsidP="00CB535B">
      <w:pPr>
        <w:spacing w:line="360" w:lineRule="auto"/>
        <w:jc w:val="both"/>
        <w:rPr>
          <w:rFonts w:cs="David"/>
          <w:sz w:val="24"/>
          <w:szCs w:val="24"/>
          <w:rtl/>
        </w:rPr>
      </w:pPr>
    </w:p>
    <w:p w:rsidR="00C91DAF" w:rsidRDefault="00C91DAF" w:rsidP="00C91DAF">
      <w:pPr>
        <w:spacing w:line="360" w:lineRule="auto"/>
        <w:jc w:val="both"/>
        <w:rPr>
          <w:rFonts w:cs="David"/>
          <w:sz w:val="24"/>
          <w:szCs w:val="24"/>
          <w:rtl/>
        </w:rPr>
      </w:pPr>
    </w:p>
    <w:p w:rsidR="001E35AD" w:rsidRDefault="00505ADA" w:rsidP="00505ADA">
      <w:pPr>
        <w:spacing w:line="360" w:lineRule="auto"/>
        <w:jc w:val="center"/>
        <w:rPr>
          <w:rFonts w:cs="David"/>
          <w:b/>
          <w:bCs/>
          <w:sz w:val="24"/>
          <w:szCs w:val="24"/>
          <w:u w:val="single"/>
        </w:rPr>
      </w:pPr>
      <w:r w:rsidRPr="00505ADA">
        <w:rPr>
          <w:rFonts w:cs="David" w:hint="cs"/>
          <w:b/>
          <w:bCs/>
          <w:sz w:val="30"/>
          <w:szCs w:val="30"/>
          <w:rtl/>
        </w:rPr>
        <w:t>בהצלחה</w:t>
      </w:r>
      <w:r>
        <w:rPr>
          <w:rFonts w:cs="David" w:hint="cs"/>
          <w:b/>
          <w:bCs/>
          <w:sz w:val="30"/>
          <w:szCs w:val="30"/>
          <w:rtl/>
        </w:rPr>
        <w:t>!</w:t>
      </w:r>
    </w:p>
    <w:sectPr w:rsidR="001E35AD" w:rsidSect="007767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958"/>
    <w:multiLevelType w:val="hybridMultilevel"/>
    <w:tmpl w:val="DD22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237D"/>
    <w:multiLevelType w:val="hybridMultilevel"/>
    <w:tmpl w:val="13CAAE66"/>
    <w:lvl w:ilvl="0" w:tplc="22A21D9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6694F"/>
    <w:multiLevelType w:val="hybridMultilevel"/>
    <w:tmpl w:val="B400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C1A14"/>
    <w:multiLevelType w:val="hybridMultilevel"/>
    <w:tmpl w:val="D3F4DE6A"/>
    <w:lvl w:ilvl="0" w:tplc="6B12F3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16FA3"/>
    <w:multiLevelType w:val="hybridMultilevel"/>
    <w:tmpl w:val="C12ADAFC"/>
    <w:lvl w:ilvl="0" w:tplc="9888345E">
      <w:start w:val="1"/>
      <w:numFmt w:val="decimal"/>
      <w:lvlText w:val="%1."/>
      <w:lvlJc w:val="left"/>
      <w:pPr>
        <w:ind w:left="720" w:hanging="360"/>
      </w:pPr>
      <w:rPr>
        <w:rFonts w:cs="Times New Roman"/>
      </w:rPr>
    </w:lvl>
    <w:lvl w:ilvl="1" w:tplc="A1BE7F5E">
      <w:start w:val="1"/>
      <w:numFmt w:val="hebrew1"/>
      <w:lvlText w:val="%2."/>
      <w:lvlJc w:val="left"/>
      <w:pPr>
        <w:ind w:left="1650" w:hanging="57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56000E"/>
    <w:multiLevelType w:val="hybridMultilevel"/>
    <w:tmpl w:val="A63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6230E"/>
    <w:multiLevelType w:val="hybridMultilevel"/>
    <w:tmpl w:val="60341352"/>
    <w:lvl w:ilvl="0" w:tplc="32821A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562D6"/>
    <w:multiLevelType w:val="hybridMultilevel"/>
    <w:tmpl w:val="B1C66CD8"/>
    <w:lvl w:ilvl="0" w:tplc="EEA25C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D134E"/>
    <w:multiLevelType w:val="hybridMultilevel"/>
    <w:tmpl w:val="CBA8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607D3"/>
    <w:multiLevelType w:val="hybridMultilevel"/>
    <w:tmpl w:val="D80001C6"/>
    <w:lvl w:ilvl="0" w:tplc="22A21D9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93E50"/>
    <w:multiLevelType w:val="hybridMultilevel"/>
    <w:tmpl w:val="5084412C"/>
    <w:lvl w:ilvl="0" w:tplc="15F604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A0D13"/>
    <w:multiLevelType w:val="hybridMultilevel"/>
    <w:tmpl w:val="41606C6C"/>
    <w:lvl w:ilvl="0" w:tplc="70A259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B531B"/>
    <w:multiLevelType w:val="hybridMultilevel"/>
    <w:tmpl w:val="18C8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A6467"/>
    <w:multiLevelType w:val="hybridMultilevel"/>
    <w:tmpl w:val="2F3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E3F3B"/>
    <w:multiLevelType w:val="hybridMultilevel"/>
    <w:tmpl w:val="D14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7462E"/>
    <w:multiLevelType w:val="hybridMultilevel"/>
    <w:tmpl w:val="F4A04B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F5EA7"/>
    <w:multiLevelType w:val="hybridMultilevel"/>
    <w:tmpl w:val="49F4A4F2"/>
    <w:lvl w:ilvl="0" w:tplc="7D860E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0289D"/>
    <w:multiLevelType w:val="hybridMultilevel"/>
    <w:tmpl w:val="89B0CA1C"/>
    <w:lvl w:ilvl="0" w:tplc="22A21D9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E6C17"/>
    <w:multiLevelType w:val="hybridMultilevel"/>
    <w:tmpl w:val="FB580F7E"/>
    <w:lvl w:ilvl="0" w:tplc="D6BC89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8"/>
  </w:num>
  <w:num w:numId="5">
    <w:abstractNumId w:val="16"/>
  </w:num>
  <w:num w:numId="6">
    <w:abstractNumId w:val="2"/>
  </w:num>
  <w:num w:numId="7">
    <w:abstractNumId w:val="11"/>
  </w:num>
  <w:num w:numId="8">
    <w:abstractNumId w:val="8"/>
  </w:num>
  <w:num w:numId="9">
    <w:abstractNumId w:val="5"/>
  </w:num>
  <w:num w:numId="10">
    <w:abstractNumId w:val="6"/>
  </w:num>
  <w:num w:numId="11">
    <w:abstractNumId w:val="14"/>
  </w:num>
  <w:num w:numId="12">
    <w:abstractNumId w:val="1"/>
  </w:num>
  <w:num w:numId="13">
    <w:abstractNumId w:val="9"/>
  </w:num>
  <w:num w:numId="14">
    <w:abstractNumId w:val="17"/>
  </w:num>
  <w:num w:numId="15">
    <w:abstractNumId w:val="0"/>
  </w:num>
  <w:num w:numId="16">
    <w:abstractNumId w:val="10"/>
  </w:num>
  <w:num w:numId="17">
    <w:abstractNumId w:val="15"/>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5743"/>
    <w:rsid w:val="00003B73"/>
    <w:rsid w:val="00007EF7"/>
    <w:rsid w:val="00040E16"/>
    <w:rsid w:val="00044509"/>
    <w:rsid w:val="00055BF7"/>
    <w:rsid w:val="00056E6F"/>
    <w:rsid w:val="0009633C"/>
    <w:rsid w:val="000A6F54"/>
    <w:rsid w:val="000E38A0"/>
    <w:rsid w:val="000F7A82"/>
    <w:rsid w:val="00152B68"/>
    <w:rsid w:val="00180460"/>
    <w:rsid w:val="001E3399"/>
    <w:rsid w:val="001E35AD"/>
    <w:rsid w:val="001E739E"/>
    <w:rsid w:val="00214DAE"/>
    <w:rsid w:val="00222AD6"/>
    <w:rsid w:val="002241F9"/>
    <w:rsid w:val="00237ED7"/>
    <w:rsid w:val="00341CB1"/>
    <w:rsid w:val="00350B04"/>
    <w:rsid w:val="0038338B"/>
    <w:rsid w:val="003A10F9"/>
    <w:rsid w:val="003B2CF2"/>
    <w:rsid w:val="00416652"/>
    <w:rsid w:val="00454D54"/>
    <w:rsid w:val="00505ADA"/>
    <w:rsid w:val="00515DE1"/>
    <w:rsid w:val="0053377E"/>
    <w:rsid w:val="00537748"/>
    <w:rsid w:val="00554417"/>
    <w:rsid w:val="00580753"/>
    <w:rsid w:val="005A2AC7"/>
    <w:rsid w:val="006065F1"/>
    <w:rsid w:val="006759BA"/>
    <w:rsid w:val="006879BF"/>
    <w:rsid w:val="00695743"/>
    <w:rsid w:val="006A6624"/>
    <w:rsid w:val="006A67F1"/>
    <w:rsid w:val="00776107"/>
    <w:rsid w:val="0077670F"/>
    <w:rsid w:val="00794FFD"/>
    <w:rsid w:val="007A28CE"/>
    <w:rsid w:val="007E2D83"/>
    <w:rsid w:val="008927DC"/>
    <w:rsid w:val="00895CD7"/>
    <w:rsid w:val="008B06B4"/>
    <w:rsid w:val="008F7937"/>
    <w:rsid w:val="00930B07"/>
    <w:rsid w:val="009506FE"/>
    <w:rsid w:val="00962C28"/>
    <w:rsid w:val="009A68FD"/>
    <w:rsid w:val="009A70F9"/>
    <w:rsid w:val="009C0F52"/>
    <w:rsid w:val="009D41A7"/>
    <w:rsid w:val="00A019E8"/>
    <w:rsid w:val="00A14F0B"/>
    <w:rsid w:val="00A47095"/>
    <w:rsid w:val="00A61047"/>
    <w:rsid w:val="00AA4EF9"/>
    <w:rsid w:val="00AE5480"/>
    <w:rsid w:val="00B43C0F"/>
    <w:rsid w:val="00B4543A"/>
    <w:rsid w:val="00B8716B"/>
    <w:rsid w:val="00BB15F4"/>
    <w:rsid w:val="00BB45E2"/>
    <w:rsid w:val="00C6404A"/>
    <w:rsid w:val="00C91DAF"/>
    <w:rsid w:val="00CB535B"/>
    <w:rsid w:val="00CF3C20"/>
    <w:rsid w:val="00D0322D"/>
    <w:rsid w:val="00D47F65"/>
    <w:rsid w:val="00D51619"/>
    <w:rsid w:val="00D56BD7"/>
    <w:rsid w:val="00D6363D"/>
    <w:rsid w:val="00D66F14"/>
    <w:rsid w:val="00D82203"/>
    <w:rsid w:val="00DC0774"/>
    <w:rsid w:val="00DC69CB"/>
    <w:rsid w:val="00DD617A"/>
    <w:rsid w:val="00E45ED0"/>
    <w:rsid w:val="00E744F8"/>
    <w:rsid w:val="00E8640F"/>
    <w:rsid w:val="00E97B01"/>
    <w:rsid w:val="00EC2D38"/>
    <w:rsid w:val="00F11405"/>
    <w:rsid w:val="00F14C2B"/>
    <w:rsid w:val="00F3341E"/>
    <w:rsid w:val="00F56F24"/>
    <w:rsid w:val="00F6084B"/>
    <w:rsid w:val="00F67744"/>
    <w:rsid w:val="00F8037B"/>
    <w:rsid w:val="00FB0E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43"/>
    <w:pPr>
      <w:bidi/>
      <w:spacing w:after="0" w:line="240" w:lineRule="auto"/>
    </w:pPr>
    <w:rPr>
      <w:rFonts w:ascii="Times New Roman" w:eastAsia="Times New Roman" w:hAnsi="Times New Roman" w:cs="Miriam"/>
      <w:noProof/>
      <w:sz w:val="20"/>
      <w:szCs w:val="20"/>
      <w:lang w:eastAsia="he-IL"/>
    </w:rPr>
  </w:style>
  <w:style w:type="paragraph" w:styleId="1">
    <w:name w:val="heading 1"/>
    <w:basedOn w:val="a"/>
    <w:next w:val="a"/>
    <w:link w:val="10"/>
    <w:qFormat/>
    <w:rsid w:val="00695743"/>
    <w:pPr>
      <w:keepNext/>
      <w:jc w:val="both"/>
      <w:outlineLvl w:val="0"/>
    </w:pPr>
    <w:rPr>
      <w:rFonts w:cs="David"/>
      <w:b/>
      <w:bCs/>
      <w:sz w:val="24"/>
      <w:szCs w:val="24"/>
    </w:rPr>
  </w:style>
  <w:style w:type="paragraph" w:styleId="2">
    <w:name w:val="heading 2"/>
    <w:basedOn w:val="a"/>
    <w:next w:val="a"/>
    <w:link w:val="20"/>
    <w:qFormat/>
    <w:rsid w:val="00695743"/>
    <w:pPr>
      <w:keepNext/>
      <w:jc w:val="center"/>
      <w:outlineLvl w:val="1"/>
    </w:pPr>
    <w:rPr>
      <w:rFonts w:cs="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95743"/>
    <w:rPr>
      <w:rFonts w:ascii="Times New Roman" w:eastAsia="Times New Roman" w:hAnsi="Times New Roman" w:cs="David"/>
      <w:b/>
      <w:bCs/>
      <w:noProof/>
      <w:sz w:val="24"/>
      <w:szCs w:val="24"/>
      <w:lang w:eastAsia="he-IL"/>
    </w:rPr>
  </w:style>
  <w:style w:type="character" w:customStyle="1" w:styleId="20">
    <w:name w:val="כותרת 2 תו"/>
    <w:basedOn w:val="a0"/>
    <w:link w:val="2"/>
    <w:rsid w:val="00695743"/>
    <w:rPr>
      <w:rFonts w:ascii="Times New Roman" w:eastAsia="Times New Roman" w:hAnsi="Times New Roman" w:cs="David"/>
      <w:b/>
      <w:bCs/>
      <w:noProof/>
      <w:sz w:val="24"/>
      <w:szCs w:val="24"/>
      <w:lang w:eastAsia="he-IL"/>
    </w:rPr>
  </w:style>
  <w:style w:type="paragraph" w:styleId="a3">
    <w:name w:val="List Paragraph"/>
    <w:basedOn w:val="a"/>
    <w:uiPriority w:val="34"/>
    <w:qFormat/>
    <w:rsid w:val="002241F9"/>
    <w:pPr>
      <w:ind w:left="720"/>
      <w:contextualSpacing/>
    </w:pPr>
  </w:style>
  <w:style w:type="character" w:styleId="Hyperlink">
    <w:name w:val="Hyperlink"/>
    <w:basedOn w:val="a0"/>
    <w:rsid w:val="00416652"/>
    <w:rPr>
      <w:color w:val="0000FF"/>
      <w:u w:val="single"/>
    </w:rPr>
  </w:style>
  <w:style w:type="paragraph" w:customStyle="1" w:styleId="p00">
    <w:name w:val="p00"/>
    <w:basedOn w:val="a"/>
    <w:rsid w:val="009D41A7"/>
    <w:pPr>
      <w:bidi w:val="0"/>
      <w:spacing w:before="100" w:beforeAutospacing="1" w:after="100" w:afterAutospacing="1"/>
    </w:pPr>
    <w:rPr>
      <w:rFonts w:cs="Times New Roman"/>
      <w:noProof w:val="0"/>
      <w:sz w:val="24"/>
      <w:szCs w:val="24"/>
      <w:lang w:eastAsia="en-US"/>
    </w:rPr>
  </w:style>
  <w:style w:type="character" w:customStyle="1" w:styleId="big-number">
    <w:name w:val="big-number"/>
    <w:basedOn w:val="a0"/>
    <w:rsid w:val="009D41A7"/>
  </w:style>
  <w:style w:type="character" w:customStyle="1" w:styleId="default">
    <w:name w:val="default"/>
    <w:basedOn w:val="a0"/>
    <w:rsid w:val="009D41A7"/>
  </w:style>
  <w:style w:type="character" w:customStyle="1" w:styleId="apple-converted-space">
    <w:name w:val="apple-converted-space"/>
    <w:basedOn w:val="a0"/>
    <w:rsid w:val="009D41A7"/>
  </w:style>
</w:styles>
</file>

<file path=word/webSettings.xml><?xml version="1.0" encoding="utf-8"?>
<w:webSettings xmlns:r="http://schemas.openxmlformats.org/officeDocument/2006/relationships" xmlns:w="http://schemas.openxmlformats.org/wordprocessingml/2006/main">
  <w:divs>
    <w:div w:id="1169712110">
      <w:bodyDiv w:val="1"/>
      <w:marLeft w:val="0"/>
      <w:marRight w:val="0"/>
      <w:marTop w:val="0"/>
      <w:marBottom w:val="0"/>
      <w:divBdr>
        <w:top w:val="none" w:sz="0" w:space="0" w:color="auto"/>
        <w:left w:val="none" w:sz="0" w:space="0" w:color="auto"/>
        <w:bottom w:val="none" w:sz="0" w:space="0" w:color="auto"/>
        <w:right w:val="none" w:sz="0" w:space="0" w:color="auto"/>
      </w:divBdr>
    </w:div>
    <w:div w:id="16597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o.co.il/case/22189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o.co.il/law/71858" TargetMode="External"/><Relationship Id="rId5" Type="http://schemas.openxmlformats.org/officeDocument/2006/relationships/hyperlink" Target="http://www.nevo.co.il/law/71858/2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2058</TotalTime>
  <Pages>4</Pages>
  <Words>1360</Words>
  <Characters>6803</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כאן כייף</dc:creator>
  <cp:lastModifiedBy>User</cp:lastModifiedBy>
  <cp:revision>21</cp:revision>
  <dcterms:created xsi:type="dcterms:W3CDTF">2018-01-20T07:48:00Z</dcterms:created>
  <dcterms:modified xsi:type="dcterms:W3CDTF">2018-02-11T15:48:00Z</dcterms:modified>
</cp:coreProperties>
</file>