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EA" w:rsidRPr="001A61E9" w:rsidRDefault="001A61E9" w:rsidP="001A61E9">
      <w:pPr>
        <w:jc w:val="center"/>
        <w:rPr>
          <w:b/>
          <w:bCs/>
          <w:sz w:val="36"/>
          <w:szCs w:val="36"/>
          <w:rtl/>
        </w:rPr>
      </w:pPr>
      <w:r w:rsidRPr="001A61E9">
        <w:rPr>
          <w:rFonts w:hint="cs"/>
          <w:b/>
          <w:bCs/>
          <w:sz w:val="36"/>
          <w:szCs w:val="36"/>
          <w:rtl/>
        </w:rPr>
        <w:t>אוניברסיטת תל אביב</w:t>
      </w:r>
    </w:p>
    <w:p w:rsidR="001A61E9" w:rsidRDefault="001A61E9" w:rsidP="001A61E9">
      <w:pPr>
        <w:jc w:val="center"/>
        <w:rPr>
          <w:b/>
          <w:bCs/>
          <w:sz w:val="36"/>
          <w:szCs w:val="36"/>
          <w:rtl/>
        </w:rPr>
      </w:pPr>
      <w:r w:rsidRPr="001A61E9">
        <w:rPr>
          <w:rFonts w:hint="cs"/>
          <w:b/>
          <w:bCs/>
          <w:sz w:val="36"/>
          <w:szCs w:val="36"/>
          <w:rtl/>
        </w:rPr>
        <w:t>הפקולטה למשפטים</w:t>
      </w:r>
    </w:p>
    <w:p w:rsidR="001A61E9" w:rsidRDefault="001A61E9" w:rsidP="001A61E9">
      <w:pPr>
        <w:jc w:val="center"/>
        <w:rPr>
          <w:b/>
          <w:bCs/>
          <w:sz w:val="36"/>
          <w:szCs w:val="36"/>
          <w:rtl/>
        </w:rPr>
      </w:pPr>
    </w:p>
    <w:p w:rsidR="001A61E9" w:rsidRDefault="001A61E9" w:rsidP="001A61E9">
      <w:pPr>
        <w:jc w:val="center"/>
        <w:rPr>
          <w:sz w:val="28"/>
          <w:szCs w:val="28"/>
          <w:rtl/>
        </w:rPr>
      </w:pPr>
      <w:r w:rsidRPr="001A61E9">
        <w:rPr>
          <w:rFonts w:hint="cs"/>
          <w:sz w:val="28"/>
          <w:szCs w:val="28"/>
          <w:rtl/>
        </w:rPr>
        <w:t>תש</w:t>
      </w:r>
      <w:r>
        <w:rPr>
          <w:rFonts w:hint="cs"/>
          <w:sz w:val="28"/>
          <w:szCs w:val="28"/>
          <w:rtl/>
        </w:rPr>
        <w:t xml:space="preserve">ע"ח </w:t>
      </w:r>
      <w:r w:rsidRPr="001A61E9">
        <w:rPr>
          <w:sz w:val="28"/>
          <w:szCs w:val="28"/>
          <w:rtl/>
        </w:rPr>
        <w:t>–</w:t>
      </w:r>
      <w:r w:rsidRPr="001A61E9">
        <w:rPr>
          <w:rFonts w:hint="cs"/>
          <w:sz w:val="28"/>
          <w:szCs w:val="28"/>
          <w:rtl/>
        </w:rPr>
        <w:t xml:space="preserve"> מועד א'</w:t>
      </w:r>
    </w:p>
    <w:p w:rsidR="001A61E9" w:rsidRPr="001A61E9" w:rsidRDefault="001A61E9" w:rsidP="001A61E9">
      <w:pPr>
        <w:jc w:val="center"/>
        <w:rPr>
          <w:b/>
          <w:bCs/>
          <w:sz w:val="36"/>
          <w:szCs w:val="36"/>
          <w:rtl/>
        </w:rPr>
      </w:pPr>
    </w:p>
    <w:p w:rsidR="001A61E9" w:rsidRPr="001A61E9" w:rsidRDefault="00C65E0C" w:rsidP="001A61E9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פתרון </w:t>
      </w:r>
      <w:r w:rsidR="001A61E9" w:rsidRPr="001A61E9">
        <w:rPr>
          <w:rFonts w:hint="cs"/>
          <w:b/>
          <w:bCs/>
          <w:sz w:val="44"/>
          <w:szCs w:val="44"/>
          <w:rtl/>
        </w:rPr>
        <w:t>בחינה בדיני בוררות</w:t>
      </w:r>
    </w:p>
    <w:p w:rsidR="001A61E9" w:rsidRDefault="001A61E9" w:rsidP="001A61E9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ד"ר גבריאל קלינג</w:t>
      </w:r>
    </w:p>
    <w:p w:rsidR="001A61E9" w:rsidRDefault="001A61E9" w:rsidP="001A61E9">
      <w:pPr>
        <w:jc w:val="center"/>
        <w:rPr>
          <w:sz w:val="28"/>
          <w:szCs w:val="28"/>
          <w:rtl/>
        </w:rPr>
      </w:pPr>
      <w:r w:rsidRPr="00B44C5E">
        <w:rPr>
          <w:rFonts w:hint="cs"/>
          <w:sz w:val="28"/>
          <w:szCs w:val="28"/>
          <w:rtl/>
        </w:rPr>
        <w:t xml:space="preserve">י"ז בשבט תשע"ח  - 2 בפברואר </w:t>
      </w:r>
      <w:r w:rsidR="00B44C5E" w:rsidRPr="00B44C5E">
        <w:rPr>
          <w:rFonts w:hint="cs"/>
          <w:sz w:val="28"/>
          <w:szCs w:val="28"/>
          <w:rtl/>
        </w:rPr>
        <w:t>2018</w:t>
      </w:r>
    </w:p>
    <w:p w:rsidR="00B44C5E" w:rsidRDefault="00B44C5E" w:rsidP="00C65E0C">
      <w:pPr>
        <w:rPr>
          <w:rFonts w:ascii="David" w:hAnsi="David" w:cs="David"/>
          <w:sz w:val="24"/>
          <w:szCs w:val="24"/>
          <w:rtl/>
        </w:rPr>
      </w:pPr>
    </w:p>
    <w:p w:rsidR="00C65E0C" w:rsidRPr="00C65E0C" w:rsidRDefault="00C65E0C" w:rsidP="00C65E0C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C65E0C">
        <w:rPr>
          <w:rFonts w:ascii="David" w:hAnsi="David" w:cs="David" w:hint="cs"/>
          <w:sz w:val="24"/>
          <w:szCs w:val="24"/>
          <w:rtl/>
        </w:rPr>
        <w:t xml:space="preserve">הסכם בוררות ומינוי הבורר צריך להיות בכתב (25 נקודות). </w:t>
      </w:r>
    </w:p>
    <w:p w:rsidR="00C65E0C" w:rsidRPr="00C65E0C" w:rsidRDefault="00C65E0C" w:rsidP="00C65E0C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C65E0C">
        <w:rPr>
          <w:rFonts w:ascii="David" w:hAnsi="David" w:cs="David"/>
          <w:sz w:val="24"/>
          <w:szCs w:val="24"/>
          <w:rtl/>
        </w:rPr>
        <w:t>האם דוד מונה כמומחה או כבורר (</w:t>
      </w:r>
      <w:r>
        <w:rPr>
          <w:rFonts w:ascii="David" w:hAnsi="David" w:cs="David" w:hint="cs"/>
          <w:sz w:val="24"/>
          <w:szCs w:val="24"/>
          <w:rtl/>
        </w:rPr>
        <w:t>15</w:t>
      </w:r>
      <w:bookmarkStart w:id="0" w:name="_GoBack"/>
      <w:bookmarkEnd w:id="0"/>
      <w:r w:rsidRPr="00C65E0C">
        <w:rPr>
          <w:rFonts w:ascii="David" w:hAnsi="David" w:cs="David"/>
          <w:sz w:val="24"/>
          <w:szCs w:val="24"/>
          <w:rtl/>
        </w:rPr>
        <w:t xml:space="preserve"> נקודות)</w:t>
      </w:r>
    </w:p>
    <w:p w:rsidR="00C65E0C" w:rsidRPr="00C65E0C" w:rsidRDefault="00C65E0C" w:rsidP="00C65E0C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C65E0C">
        <w:rPr>
          <w:rFonts w:ascii="David" w:hAnsi="David" w:cs="David"/>
          <w:sz w:val="24"/>
          <w:szCs w:val="24"/>
          <w:rtl/>
        </w:rPr>
        <w:t>האם בורר יכול להסתמך על ידיעותיו ומומחיותו (</w:t>
      </w:r>
      <w:r>
        <w:rPr>
          <w:rFonts w:ascii="David" w:hAnsi="David" w:cs="David" w:hint="cs"/>
          <w:sz w:val="24"/>
          <w:szCs w:val="24"/>
          <w:rtl/>
        </w:rPr>
        <w:t>10</w:t>
      </w:r>
      <w:r w:rsidRPr="00C65E0C">
        <w:rPr>
          <w:rFonts w:ascii="David" w:hAnsi="David" w:cs="David"/>
          <w:sz w:val="24"/>
          <w:szCs w:val="24"/>
          <w:rtl/>
        </w:rPr>
        <w:t xml:space="preserve"> נקודות)</w:t>
      </w:r>
      <w:r w:rsidRPr="00C65E0C">
        <w:rPr>
          <w:rFonts w:ascii="David" w:hAnsi="David" w:cs="David"/>
          <w:sz w:val="24"/>
          <w:szCs w:val="24"/>
        </w:rPr>
        <w:t>?</w:t>
      </w:r>
    </w:p>
    <w:p w:rsidR="00C65E0C" w:rsidRPr="00C65E0C" w:rsidRDefault="00C65E0C" w:rsidP="00C65E0C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C65E0C">
        <w:rPr>
          <w:rFonts w:ascii="David" w:hAnsi="David" w:cs="David"/>
          <w:sz w:val="24"/>
          <w:szCs w:val="24"/>
          <w:rtl/>
        </w:rPr>
        <w:t>בורר חייב לאפשר לבעל דין להביא עדויות ולאפשר חקירה של עדים (10 נקודות)</w:t>
      </w:r>
      <w:r w:rsidRPr="00C65E0C">
        <w:rPr>
          <w:rFonts w:ascii="David" w:hAnsi="David" w:cs="David"/>
          <w:sz w:val="24"/>
          <w:szCs w:val="24"/>
        </w:rPr>
        <w:t>.</w:t>
      </w:r>
    </w:p>
    <w:p w:rsidR="00C65E0C" w:rsidRPr="00C65E0C" w:rsidRDefault="00C65E0C" w:rsidP="00C65E0C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C65E0C">
        <w:rPr>
          <w:rFonts w:ascii="David" w:hAnsi="David" w:cs="David"/>
          <w:sz w:val="24"/>
          <w:szCs w:val="24"/>
          <w:rtl/>
        </w:rPr>
        <w:t>עילות ביטול פסק בורר (</w:t>
      </w:r>
      <w:r>
        <w:rPr>
          <w:rFonts w:ascii="David" w:hAnsi="David" w:cs="David" w:hint="cs"/>
          <w:sz w:val="24"/>
          <w:szCs w:val="24"/>
          <w:rtl/>
        </w:rPr>
        <w:t>20</w:t>
      </w:r>
      <w:r w:rsidRPr="00C65E0C">
        <w:rPr>
          <w:rFonts w:ascii="David" w:hAnsi="David" w:cs="David"/>
          <w:sz w:val="24"/>
          <w:szCs w:val="24"/>
          <w:rtl/>
        </w:rPr>
        <w:t xml:space="preserve"> נקודות)</w:t>
      </w:r>
    </w:p>
    <w:p w:rsidR="00C65E0C" w:rsidRPr="00C65E0C" w:rsidRDefault="00C65E0C" w:rsidP="00C65E0C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C65E0C">
        <w:rPr>
          <w:rFonts w:ascii="David" w:hAnsi="David" w:cs="David"/>
          <w:sz w:val="24"/>
          <w:szCs w:val="24"/>
          <w:rtl/>
        </w:rPr>
        <w:t>האם יש מקום לתבוע מן הבורר פיצויים (</w:t>
      </w:r>
      <w:r>
        <w:rPr>
          <w:rFonts w:ascii="David" w:hAnsi="David" w:cs="David" w:hint="cs"/>
          <w:sz w:val="24"/>
          <w:szCs w:val="24"/>
          <w:rtl/>
        </w:rPr>
        <w:t>10</w:t>
      </w:r>
      <w:r w:rsidRPr="00C65E0C">
        <w:rPr>
          <w:rFonts w:ascii="David" w:hAnsi="David" w:cs="David"/>
          <w:sz w:val="24"/>
          <w:szCs w:val="24"/>
          <w:rtl/>
        </w:rPr>
        <w:t xml:space="preserve"> נקודות)</w:t>
      </w:r>
    </w:p>
    <w:p w:rsidR="00C65E0C" w:rsidRPr="00C65E0C" w:rsidRDefault="00C65E0C" w:rsidP="00C65E0C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C65E0C">
        <w:rPr>
          <w:rFonts w:ascii="David" w:hAnsi="David" w:cs="David"/>
          <w:sz w:val="24"/>
          <w:szCs w:val="24"/>
          <w:rtl/>
        </w:rPr>
        <w:t>סעיף 39 לחוק הבוררות (10 נקודות)</w:t>
      </w:r>
      <w:r w:rsidRPr="00C65E0C">
        <w:rPr>
          <w:rFonts w:ascii="David" w:hAnsi="David" w:cs="David"/>
          <w:sz w:val="24"/>
          <w:szCs w:val="24"/>
        </w:rPr>
        <w:t>.</w:t>
      </w:r>
    </w:p>
    <w:p w:rsidR="00C65E0C" w:rsidRDefault="00C65E0C" w:rsidP="00C65E0C">
      <w:pPr>
        <w:bidi w:val="0"/>
        <w:jc w:val="right"/>
        <w:rPr>
          <w:sz w:val="28"/>
          <w:szCs w:val="28"/>
          <w:rtl/>
        </w:rPr>
      </w:pPr>
    </w:p>
    <w:p w:rsidR="00C65E0C" w:rsidRDefault="00C65E0C" w:rsidP="001A61E9">
      <w:pPr>
        <w:jc w:val="center"/>
        <w:rPr>
          <w:sz w:val="28"/>
          <w:szCs w:val="28"/>
          <w:rtl/>
        </w:rPr>
      </w:pPr>
    </w:p>
    <w:sectPr w:rsidR="00C65E0C" w:rsidSect="00347A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D6F58"/>
    <w:multiLevelType w:val="hybridMultilevel"/>
    <w:tmpl w:val="B3B0E4E6"/>
    <w:lvl w:ilvl="0" w:tplc="497A2F86">
      <w:start w:val="1"/>
      <w:numFmt w:val="decimal"/>
      <w:lvlText w:val="%1."/>
      <w:lvlJc w:val="left"/>
      <w:pPr>
        <w:ind w:left="4260" w:hanging="3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834AE"/>
    <w:multiLevelType w:val="hybridMultilevel"/>
    <w:tmpl w:val="419A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E9"/>
    <w:rsid w:val="000C57A8"/>
    <w:rsid w:val="001A61E9"/>
    <w:rsid w:val="0024248D"/>
    <w:rsid w:val="002F230F"/>
    <w:rsid w:val="00347ACA"/>
    <w:rsid w:val="0050660C"/>
    <w:rsid w:val="005C3A78"/>
    <w:rsid w:val="007A0673"/>
    <w:rsid w:val="008549A8"/>
    <w:rsid w:val="00855CDF"/>
    <w:rsid w:val="009B745C"/>
    <w:rsid w:val="00AB2DF7"/>
    <w:rsid w:val="00AD075E"/>
    <w:rsid w:val="00B44C5E"/>
    <w:rsid w:val="00B81576"/>
    <w:rsid w:val="00BA1B02"/>
    <w:rsid w:val="00C65E0C"/>
    <w:rsid w:val="00EB300B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A047"/>
  <w15:docId w15:val="{2DBC2730-CF8C-42E6-9FCB-ABD3F31B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 Yarin</cp:lastModifiedBy>
  <cp:revision>3</cp:revision>
  <cp:lastPrinted>2018-02-07T06:56:00Z</cp:lastPrinted>
  <dcterms:created xsi:type="dcterms:W3CDTF">2018-02-11T14:46:00Z</dcterms:created>
  <dcterms:modified xsi:type="dcterms:W3CDTF">2018-02-11T14:53:00Z</dcterms:modified>
</cp:coreProperties>
</file>