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360" w:lineRule="auto"/>
        <w:jc w:val="center"/>
        <w:rPr>
          <w:rFonts w:ascii="David" w:cs="David" w:eastAsia="David" w:hAnsi="David"/>
          <w:b w:val="1"/>
          <w:color w:val="000000"/>
          <w:sz w:val="36"/>
          <w:szCs w:val="36"/>
        </w:rPr>
      </w:pPr>
      <w:r w:rsidDel="00000000" w:rsidR="00000000" w:rsidRPr="00000000">
        <w:rPr>
          <w:rFonts w:ascii="David" w:cs="David" w:eastAsia="David" w:hAnsi="David"/>
          <w:b w:val="1"/>
          <w:color w:val="000000"/>
          <w:sz w:val="36"/>
          <w:szCs w:val="36"/>
          <w:rtl w:val="1"/>
        </w:rPr>
        <w:t xml:space="preserve">קול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36"/>
          <w:szCs w:val="36"/>
          <w:rtl w:val="1"/>
        </w:rPr>
        <w:t xml:space="preserve">קורא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36"/>
          <w:szCs w:val="36"/>
          <w:rtl w:val="1"/>
        </w:rPr>
        <w:t xml:space="preserve">להגשת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36"/>
          <w:szCs w:val="36"/>
          <w:rtl w:val="1"/>
        </w:rPr>
        <w:t xml:space="preserve">מועמדות</w:t>
      </w:r>
    </w:p>
    <w:p w:rsidR="00000000" w:rsidDel="00000000" w:rsidP="00000000" w:rsidRDefault="00000000" w:rsidRPr="00000000" w14:paraId="00000002">
      <w:pPr>
        <w:bidi w:val="1"/>
        <w:spacing w:line="360" w:lineRule="auto"/>
        <w:jc w:val="center"/>
        <w:rPr>
          <w:rFonts w:ascii="David" w:cs="David" w:eastAsia="David" w:hAnsi="David"/>
          <w:b w:val="1"/>
          <w:color w:val="000000"/>
          <w:sz w:val="36"/>
          <w:szCs w:val="36"/>
        </w:rPr>
      </w:pPr>
      <w:r w:rsidDel="00000000" w:rsidR="00000000" w:rsidRPr="00000000">
        <w:rPr>
          <w:rFonts w:ascii="David" w:cs="David" w:eastAsia="David" w:hAnsi="David"/>
          <w:b w:val="1"/>
          <w:color w:val="000000"/>
          <w:sz w:val="36"/>
          <w:szCs w:val="36"/>
          <w:rtl w:val="1"/>
        </w:rPr>
        <w:t xml:space="preserve">למערכת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36"/>
          <w:szCs w:val="36"/>
          <w:rtl w:val="1"/>
        </w:rPr>
        <w:t xml:space="preserve">כרך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36"/>
          <w:szCs w:val="36"/>
          <w:rtl w:val="1"/>
        </w:rPr>
        <w:t xml:space="preserve">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color w:val="000000"/>
          <w:sz w:val="36"/>
          <w:szCs w:val="36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36"/>
          <w:szCs w:val="36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36"/>
          <w:szCs w:val="36"/>
          <w:rtl w:val="1"/>
        </w:rPr>
        <w:t xml:space="preserve">כתב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36"/>
          <w:szCs w:val="36"/>
          <w:rtl w:val="1"/>
        </w:rPr>
        <w:t xml:space="preserve">העת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36"/>
          <w:szCs w:val="36"/>
          <w:rtl w:val="1"/>
        </w:rPr>
        <w:t xml:space="preserve">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i w:val="1"/>
          <w:color w:val="000000"/>
          <w:sz w:val="36"/>
          <w:szCs w:val="36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i w:val="1"/>
          <w:color w:val="000000"/>
          <w:sz w:val="36"/>
          <w:szCs w:val="36"/>
          <w:rtl w:val="1"/>
        </w:rPr>
        <w:t xml:space="preserve">משפט</w:t>
      </w:r>
      <w:r w:rsidDel="00000000" w:rsidR="00000000" w:rsidRPr="00000000">
        <w:rPr>
          <w:rFonts w:ascii="David" w:cs="David" w:eastAsia="David" w:hAnsi="David"/>
          <w:b w:val="1"/>
          <w:i w:val="1"/>
          <w:color w:val="000000"/>
          <w:sz w:val="36"/>
          <w:szCs w:val="36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i w:val="1"/>
          <w:color w:val="000000"/>
          <w:sz w:val="36"/>
          <w:szCs w:val="36"/>
          <w:rtl w:val="1"/>
        </w:rPr>
        <w:t xml:space="preserve">חברה</w:t>
      </w:r>
      <w:r w:rsidDel="00000000" w:rsidR="00000000" w:rsidRPr="00000000">
        <w:rPr>
          <w:rFonts w:ascii="David" w:cs="David" w:eastAsia="David" w:hAnsi="David"/>
          <w:b w:val="1"/>
          <w:i w:val="1"/>
          <w:color w:val="000000"/>
          <w:sz w:val="36"/>
          <w:szCs w:val="36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i w:val="1"/>
          <w:color w:val="000000"/>
          <w:sz w:val="36"/>
          <w:szCs w:val="36"/>
          <w:rtl w:val="1"/>
        </w:rPr>
        <w:t xml:space="preserve">ותרבות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36"/>
          <w:szCs w:val="36"/>
          <w:rtl w:val="0"/>
        </w:rPr>
        <w:t xml:space="preserve">" </w:t>
      </w:r>
    </w:p>
    <w:p w:rsidR="00000000" w:rsidDel="00000000" w:rsidP="00000000" w:rsidRDefault="00000000" w:rsidRPr="00000000" w14:paraId="00000003">
      <w:pPr>
        <w:bidi w:val="1"/>
        <w:spacing w:line="360" w:lineRule="auto"/>
        <w:jc w:val="center"/>
        <w:rPr>
          <w:rFonts w:ascii="David" w:cs="David" w:eastAsia="David" w:hAnsi="David"/>
          <w:b w:val="1"/>
          <w:color w:val="000000"/>
          <w:sz w:val="32"/>
          <w:szCs w:val="32"/>
        </w:rPr>
      </w:pPr>
      <w:r w:rsidDel="00000000" w:rsidR="00000000" w:rsidRPr="00000000">
        <w:rPr>
          <w:rFonts w:ascii="David" w:cs="David" w:eastAsia="David" w:hAnsi="David"/>
          <w:b w:val="1"/>
          <w:color w:val="000000"/>
          <w:sz w:val="32"/>
          <w:szCs w:val="32"/>
          <w:rtl w:val="1"/>
        </w:rPr>
        <w:t xml:space="preserve">בנושא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32"/>
          <w:szCs w:val="32"/>
          <w:rtl w:val="1"/>
        </w:rPr>
        <w:t xml:space="preserve"> "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כלכלה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מוסדות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ומשפט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32"/>
          <w:szCs w:val="32"/>
          <w:rtl w:val="1"/>
        </w:rPr>
        <w:t xml:space="preserve">בישראל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32"/>
          <w:szCs w:val="32"/>
          <w:rtl w:val="0"/>
        </w:rPr>
        <w:t xml:space="preserve">"</w:t>
      </w:r>
    </w:p>
    <w:p w:rsidR="00000000" w:rsidDel="00000000" w:rsidP="00000000" w:rsidRDefault="00000000" w:rsidRPr="00000000" w14:paraId="00000004">
      <w:pPr>
        <w:bidi w:val="1"/>
        <w:spacing w:line="360" w:lineRule="auto"/>
        <w:jc w:val="center"/>
        <w:rPr>
          <w:rFonts w:ascii="David" w:cs="David" w:eastAsia="David" w:hAnsi="David"/>
          <w:b w:val="1"/>
          <w:color w:val="000000"/>
          <w:sz w:val="28"/>
          <w:szCs w:val="28"/>
        </w:rPr>
      </w:pPr>
      <w:r w:rsidDel="00000000" w:rsidR="00000000" w:rsidRPr="00000000">
        <w:rPr>
          <w:rFonts w:ascii="David" w:cs="David" w:eastAsia="David" w:hAnsi="David"/>
          <w:b w:val="1"/>
          <w:color w:val="000000"/>
          <w:sz w:val="28"/>
          <w:szCs w:val="28"/>
          <w:rtl w:val="1"/>
        </w:rPr>
        <w:t xml:space="preserve">בעריכת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פרופ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'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רון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חריס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8"/>
          <w:szCs w:val="28"/>
          <w:rtl w:val="1"/>
        </w:rPr>
        <w:t xml:space="preserve">וד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8"/>
          <w:szCs w:val="28"/>
          <w:rtl w:val="1"/>
        </w:rPr>
        <w:t xml:space="preserve">ר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דרור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גולדברג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bidi w:val="1"/>
        <w:spacing w:line="360" w:lineRule="auto"/>
        <w:jc w:val="both"/>
        <w:rPr>
          <w:b w:val="1"/>
          <w:color w:val="0070c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bidi w:val="1"/>
        <w:spacing w:line="360" w:lineRule="auto"/>
        <w:jc w:val="both"/>
        <w:rPr>
          <w:rFonts w:ascii="David" w:cs="David" w:eastAsia="David" w:hAnsi="David"/>
          <w:b w:val="0"/>
          <w:color w:val="000000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color w:val="000000"/>
          <w:sz w:val="28"/>
          <w:szCs w:val="28"/>
          <w:rtl w:val="1"/>
        </w:rPr>
        <w:t xml:space="preserve">משפט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8"/>
          <w:szCs w:val="28"/>
          <w:rtl w:val="1"/>
        </w:rPr>
        <w:t xml:space="preserve">חברה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8"/>
          <w:szCs w:val="28"/>
          <w:rtl w:val="1"/>
        </w:rPr>
        <w:t xml:space="preserve">ותרבות</w:t>
      </w:r>
      <w:r w:rsidDel="00000000" w:rsidR="00000000" w:rsidRPr="00000000">
        <w:rPr>
          <w:rFonts w:ascii="David" w:cs="David" w:eastAsia="David" w:hAnsi="David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עת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משפטי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היוצא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לאור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ידי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הפקולטה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למשפטים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בוכמן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באוניברסיטת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תל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אביב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העת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מהווה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במה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ייחודית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למחקרים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אקדמיים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תחומיים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העוסקים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בבחינת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הקשר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שבין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המשפט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לבין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תחומי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דעת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אחרים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שילוב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משפטנים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וחוקרים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מתחומי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דעת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שונים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חושפים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חברי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וחברות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המערכת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לעולמות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תוכן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נוספים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ולממשק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בינם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לבין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המשפט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שנה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יוצא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לאור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כרך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ייעודי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בנושא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מסוים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תוך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מתן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דגש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נקודת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מבט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מקורית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רחבה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ובין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תחומית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כתב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העת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מציג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הקוראים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מגמות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מחקר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עכשוויות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העוסקות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בנושאים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שבמרכז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סדר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הציבורי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דוגמאות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לכך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לראות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בכרכים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האחרונים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שיצאו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לאור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: "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משפט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ורגשות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" (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עור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יורם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שחר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ואורית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רוזין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),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משפט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ופרטיות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" (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עורך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מיכאל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בירנהק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), "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המשפט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והחרדים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בישראל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" (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עורכים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יורם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מרגליות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וחיים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זיכרמן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), "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משפט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צדק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ההליך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הפלילי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בישראל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כשלים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ואתגרים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" (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עורך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אלון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הראל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7">
      <w:pPr>
        <w:widowControl w:val="0"/>
        <w:bidi w:val="1"/>
        <w:spacing w:line="360" w:lineRule="auto"/>
        <w:jc w:val="both"/>
        <w:rPr>
          <w:rFonts w:ascii="David" w:cs="David" w:eastAsia="David" w:hAnsi="David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line="360" w:lineRule="auto"/>
        <w:jc w:val="both"/>
        <w:rPr>
          <w:rFonts w:ascii="David" w:cs="David" w:eastAsia="David" w:hAnsi="David"/>
          <w:b w:val="0"/>
          <w:color w:val="000000"/>
          <w:sz w:val="24"/>
          <w:szCs w:val="24"/>
          <w:highlight w:val="yellow"/>
        </w:rPr>
      </w:pP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הכרך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הבא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יעסוק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במערכת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הקשרים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שבין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הכלכלה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המבנה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המוסדי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והמשפט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בישראל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בהיבטים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 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היסטוריים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ועכשוויים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rtl w:val="1"/>
        </w:rPr>
        <w:t xml:space="preserve">.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המאמרים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הצפויים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להתפרסם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יעסקו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בנושאים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התפתחות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מערך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הפנסיה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עצמאות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הרשות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לניירות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ערך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האסדרה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ההתאחדות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לכדורגל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קניין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רגולטורי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המחברים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משתייכים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למגוון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דיסציפלינות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לרבות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משפטים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היסטוריה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כלכלה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ומדע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המדינה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line="360" w:lineRule="auto"/>
        <w:jc w:val="both"/>
        <w:rPr>
          <w:rFonts w:ascii="David" w:cs="David" w:eastAsia="David" w:hAnsi="David"/>
          <w:b w:val="0"/>
          <w:color w:val="000000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color w:val="000000"/>
          <w:sz w:val="28"/>
          <w:szCs w:val="28"/>
          <w:rtl w:val="1"/>
        </w:rPr>
        <w:t xml:space="preserve">עבודת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8"/>
          <w:szCs w:val="28"/>
          <w:rtl w:val="1"/>
        </w:rPr>
        <w:t xml:space="preserve">המערכת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8"/>
          <w:szCs w:val="28"/>
          <w:rtl w:val="1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ההכשרה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לעבודת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המערכת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תוענק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לסטודנטים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הכשרה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מקצועית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אקדמית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שתכלול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ארגז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כלים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לקריאה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ועריכה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ביקורתית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מאמרים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חברי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המערכת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ישתתפו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בימי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עיון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ובסיורים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יעמיקו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היכרותם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חשיבות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המשפט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בעיצוב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הכלכלה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והמוסדות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בישראל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העבודה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תכלול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עריכה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וליווי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כלל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המאמרים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מעת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הגעתם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למערכת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ועד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לפרסומם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הסופי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ובכלל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עריכה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מהותית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וטכנית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במסגרת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חברי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המערכת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יעבדו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בצוותים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בליווי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העורכים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הן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המאמרים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עצמם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והן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פרויקטים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נוספים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הנגזרים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ממתכונתו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הייחודית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הכרך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זאת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תוך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sz w:val="24"/>
          <w:szCs w:val="24"/>
          <w:rtl w:val="1"/>
        </w:rPr>
        <w:t xml:space="preserve">התמקצעות</w:t>
      </w:r>
      <w:r w:rsidDel="00000000" w:rsidR="00000000" w:rsidRPr="00000000">
        <w:rPr>
          <w:rFonts w:ascii="David" w:cs="David" w:eastAsia="David" w:hAnsi="David"/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sz w:val="24"/>
          <w:szCs w:val="24"/>
          <w:rtl w:val="1"/>
        </w:rPr>
        <w:t xml:space="preserve">בנושא</w:t>
      </w:r>
      <w:r w:rsidDel="00000000" w:rsidR="00000000" w:rsidRPr="00000000">
        <w:rPr>
          <w:rFonts w:ascii="David" w:cs="David" w:eastAsia="David" w:hAnsi="David"/>
          <w:b w:val="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והעמקה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באמצעות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sz w:val="24"/>
          <w:szCs w:val="24"/>
          <w:rtl w:val="1"/>
        </w:rPr>
        <w:t xml:space="preserve">מיטב</w:t>
      </w:r>
      <w:r w:rsidDel="00000000" w:rsidR="00000000" w:rsidRPr="00000000">
        <w:rPr>
          <w:rFonts w:ascii="David" w:cs="David" w:eastAsia="David" w:hAnsi="David"/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החוקרים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sz w:val="24"/>
          <w:szCs w:val="24"/>
          <w:rtl w:val="1"/>
        </w:rPr>
        <w:t xml:space="preserve">בתחום</w:t>
      </w:r>
      <w:r w:rsidDel="00000000" w:rsidR="00000000" w:rsidRPr="00000000">
        <w:rPr>
          <w:rFonts w:ascii="David" w:cs="David" w:eastAsia="David" w:hAnsi="David"/>
          <w:b w:val="0"/>
          <w:sz w:val="24"/>
          <w:szCs w:val="24"/>
          <w:rtl w:val="1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spacing w:line="360" w:lineRule="auto"/>
        <w:jc w:val="both"/>
        <w:rPr>
          <w:rFonts w:ascii="David" w:cs="David" w:eastAsia="David" w:hAnsi="David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line="360" w:lineRule="auto"/>
        <w:jc w:val="both"/>
        <w:rPr>
          <w:rFonts w:ascii="David" w:cs="David" w:eastAsia="David" w:hAnsi="David"/>
          <w:b w:val="0"/>
          <w:color w:val="000000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מחפשים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סטודנטים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סקרנים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בעלי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יכולות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אקדמיות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גבוהות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חשיבה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עצמאית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וביקורתית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תחומי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עניין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מגוונים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ויכולת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עבודה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בצוות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החברות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במערכת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נמשכת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לאורך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העבודה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הכרך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כשנה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וחצי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ודורשת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מחויבות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וזמינות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במהלך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שנת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הלימודים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כולה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ואף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במהלך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חודשי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הקיץ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תוך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התחשבות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בתקופת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הבחינות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חברי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המערכת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שיעמדו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בהצלחה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במטלות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יתוגמלו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-4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נקודות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זכות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כפטור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כלומר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ללא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ציון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מספרי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). </w:t>
      </w:r>
    </w:p>
    <w:p w:rsidR="00000000" w:rsidDel="00000000" w:rsidP="00000000" w:rsidRDefault="00000000" w:rsidRPr="00000000" w14:paraId="0000000D">
      <w:pPr>
        <w:bidi w:val="1"/>
        <w:spacing w:line="360" w:lineRule="auto"/>
        <w:jc w:val="both"/>
        <w:rPr>
          <w:rFonts w:ascii="David" w:cs="David" w:eastAsia="David" w:hAnsi="David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line="360" w:lineRule="auto"/>
        <w:jc w:val="both"/>
        <w:rPr>
          <w:sz w:val="28"/>
          <w:szCs w:val="28"/>
          <w:u w:val="single"/>
        </w:rPr>
      </w:pP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הגשת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8"/>
          <w:szCs w:val="28"/>
          <w:u w:val="single"/>
          <w:rtl w:val="1"/>
        </w:rPr>
        <w:t xml:space="preserve">מועמדות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line="360" w:lineRule="auto"/>
        <w:jc w:val="both"/>
        <w:rPr>
          <w:rFonts w:ascii="David" w:cs="David" w:eastAsia="David" w:hAnsi="David"/>
          <w:b w:val="0"/>
          <w:color w:val="000000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מזמינים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סטודנטים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משנים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'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להגיש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מועמדותם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למערכת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הכרך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הבא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אנחנו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מזמינים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תלמידים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בשנה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',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שלומדים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לתואר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מואץ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תלמידים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אחרים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לתארים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מתקדמים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מחקריים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באישור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הממונה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להגיש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מועמדות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וזאת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בתנאי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שיישארו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בפקולטה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לפחות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תום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סמסטר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שנת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sz w:val="24"/>
          <w:szCs w:val="24"/>
          <w:rtl w:val="1"/>
        </w:rPr>
        <w:t xml:space="preserve">הלימודים</w:t>
      </w:r>
      <w:r w:rsidDel="00000000" w:rsidR="00000000" w:rsidRPr="00000000">
        <w:rPr>
          <w:rFonts w:ascii="David" w:cs="David" w:eastAsia="David" w:hAnsi="David"/>
          <w:b w:val="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sz w:val="24"/>
          <w:szCs w:val="24"/>
          <w:rtl w:val="1"/>
        </w:rPr>
        <w:t xml:space="preserve">תשפ</w:t>
      </w:r>
      <w:r w:rsidDel="00000000" w:rsidR="00000000" w:rsidRPr="00000000">
        <w:rPr>
          <w:rFonts w:ascii="David" w:cs="David" w:eastAsia="David" w:hAnsi="David"/>
          <w:b w:val="0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David" w:cs="David" w:eastAsia="David" w:hAnsi="David"/>
          <w:b w:val="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line="360" w:lineRule="auto"/>
        <w:jc w:val="both"/>
        <w:rPr>
          <w:rFonts w:ascii="David" w:cs="David" w:eastAsia="David" w:hAnsi="David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spacing w:line="360" w:lineRule="auto"/>
        <w:jc w:val="both"/>
        <w:rPr>
          <w:rFonts w:ascii="David" w:cs="David" w:eastAsia="David" w:hAnsi="David"/>
          <w:b w:val="0"/>
          <w:color w:val="000000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highlight w:val="white"/>
          <w:rtl w:val="1"/>
        </w:rPr>
        <w:t xml:space="preserve">השלב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highlight w:val="white"/>
          <w:rtl w:val="1"/>
        </w:rPr>
        <w:t xml:space="preserve">הראשון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highlight w:val="white"/>
          <w:rtl w:val="1"/>
        </w:rPr>
        <w:t xml:space="preserve">במיונים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highlight w:val="white"/>
          <w:rtl w:val="1"/>
        </w:rPr>
        <w:t xml:space="preserve">כולל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highlight w:val="white"/>
          <w:rtl w:val="1"/>
        </w:rPr>
        <w:t xml:space="preserve">מטלת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highlight w:val="white"/>
          <w:rtl w:val="1"/>
        </w:rPr>
        <w:t xml:space="preserve">כתיבה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highlight w:val="white"/>
          <w:rtl w:val="1"/>
        </w:rPr>
        <w:t xml:space="preserve">ש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highlight w:val="white"/>
          <w:rtl w:val="1"/>
        </w:rPr>
        <w:t xml:space="preserve">אותה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highlight w:val="white"/>
          <w:rtl w:val="1"/>
        </w:rPr>
        <w:t xml:space="preserve">יש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highlight w:val="white"/>
          <w:rtl w:val="1"/>
        </w:rPr>
        <w:t xml:space="preserve">להגיש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highlight w:val="white"/>
          <w:rtl w:val="1"/>
        </w:rPr>
        <w:t xml:space="preserve">עד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highlight w:val="white"/>
          <w:rtl w:val="1"/>
        </w:rPr>
        <w:t xml:space="preserve">לתאריך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highlight w:val="white"/>
          <w:rtl w:val="1"/>
        </w:rPr>
        <w:t xml:space="preserve"> 02/11/2020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highlight w:val="white"/>
          <w:rtl w:val="1"/>
        </w:rPr>
        <w:t xml:space="preserve">בשעה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highlight w:val="white"/>
          <w:rtl w:val="1"/>
        </w:rPr>
        <w:t xml:space="preserve"> 12:00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highlight w:val="white"/>
          <w:rtl w:val="1"/>
        </w:rPr>
        <w:t xml:space="preserve">בצהריים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highlight w:val="white"/>
          <w:rtl w:val="1"/>
        </w:rPr>
        <w:t xml:space="preserve">בצירוף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highlight w:val="white"/>
          <w:rtl w:val="1"/>
        </w:rPr>
        <w:t xml:space="preserve">גיליון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highlight w:val="white"/>
          <w:rtl w:val="1"/>
        </w:rPr>
        <w:t xml:space="preserve">ציונים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highlight w:val="white"/>
          <w:rtl w:val="1"/>
        </w:rPr>
        <w:t xml:space="preserve">עדכני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highlight w:val="white"/>
          <w:rtl w:val="1"/>
        </w:rPr>
        <w:t xml:space="preserve">וקורות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highlight w:val="white"/>
          <w:rtl w:val="1"/>
        </w:rPr>
        <w:t xml:space="preserve">חיים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highlight w:val="white"/>
          <w:rtl w:val="1"/>
        </w:rPr>
        <w:t xml:space="preserve">הכוללים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highlight w:val="white"/>
          <w:rtl w:val="1"/>
        </w:rPr>
        <w:t xml:space="preserve">פרטי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highlight w:val="white"/>
          <w:rtl w:val="1"/>
        </w:rPr>
        <w:t xml:space="preserve">קשר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highlight w:val="white"/>
          <w:rtl w:val="1"/>
        </w:rPr>
        <w:t xml:space="preserve">ותמונה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highlight w:val="white"/>
          <w:rtl w:val="1"/>
        </w:rPr>
        <w:t xml:space="preserve">עדכניים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highlight w:val="white"/>
          <w:rtl w:val="1"/>
        </w:rPr>
        <w:t xml:space="preserve">.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מועמדים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מתאימים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יזומנו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לראיון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אישי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במהלכו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יתקיים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המאמר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שקראו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ההערות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שכתבו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וכן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היכרות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למען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הסר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ספק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להגיש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מועמדות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למספר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כתבי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עת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במקביל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בתום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הראיונות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יישלח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קישור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לטופס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אינטרנטי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לדירוג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סדר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העדיפויות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כתבי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העת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2">
      <w:pPr>
        <w:bidi w:val="1"/>
        <w:spacing w:line="360" w:lineRule="auto"/>
        <w:jc w:val="both"/>
        <w:rPr>
          <w:rFonts w:ascii="David" w:cs="David" w:eastAsia="David" w:hAnsi="David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spacing w:line="360" w:lineRule="auto"/>
        <w:jc w:val="both"/>
        <w:rPr>
          <w:rFonts w:ascii="David" w:cs="David" w:eastAsia="David" w:hAnsi="David"/>
          <w:b w:val="0"/>
          <w:color w:val="000000"/>
        </w:rPr>
      </w:pPr>
      <w:r w:rsidDel="00000000" w:rsidR="00000000" w:rsidRPr="00000000">
        <w:rPr>
          <w:rFonts w:ascii="David" w:cs="David" w:eastAsia="David" w:hAnsi="David"/>
          <w:b w:val="1"/>
          <w:color w:val="000000"/>
          <w:sz w:val="28"/>
          <w:szCs w:val="28"/>
          <w:u w:val="single"/>
          <w:rtl w:val="1"/>
        </w:rPr>
        <w:t xml:space="preserve">מטלת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8"/>
          <w:szCs w:val="28"/>
          <w:u w:val="single"/>
          <w:rtl w:val="1"/>
        </w:rPr>
        <w:t xml:space="preserve">הכתיבה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spacing w:line="360" w:lineRule="auto"/>
        <w:rPr>
          <w:rFonts w:ascii="David" w:cs="David" w:eastAsia="David" w:hAnsi="David"/>
          <w:b w:val="0"/>
          <w:color w:val="000000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נבקש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לקרוא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המאמר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הבא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:</w:t>
      </w:r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 </w:t>
      </w:r>
      <w:hyperlink r:id="rId7">
        <w:r w:rsidDel="00000000" w:rsidR="00000000" w:rsidRPr="00000000">
          <w:rPr>
            <w:rtl w:val="0"/>
          </w:rPr>
        </w:r>
      </w:hyperlink>
      <w:hyperlink r:id="rId8">
        <w:r w:rsidDel="00000000" w:rsidR="00000000" w:rsidRPr="00000000">
          <w:rPr>
            <w:rFonts w:ascii="David" w:cs="David" w:eastAsia="David" w:hAnsi="David"/>
            <w:color w:val="1155cc"/>
            <w:sz w:val="24"/>
            <w:szCs w:val="24"/>
            <w:u w:val="single"/>
            <w:rtl w:val="1"/>
          </w:rPr>
          <w:t xml:space="preserve">"</w:t>
        </w:r>
      </w:hyperlink>
      <w:hyperlink r:id="rId9">
        <w:r w:rsidDel="00000000" w:rsidR="00000000" w:rsidRPr="00000000">
          <w:rPr>
            <w:rFonts w:ascii="David" w:cs="David" w:eastAsia="David" w:hAnsi="David"/>
            <w:color w:val="1155cc"/>
            <w:sz w:val="24"/>
            <w:szCs w:val="24"/>
            <w:u w:val="single"/>
            <w:rtl w:val="1"/>
          </w:rPr>
          <w:t xml:space="preserve">האם</w:t>
        </w:r>
      </w:hyperlink>
      <w:hyperlink r:id="rId10">
        <w:r w:rsidDel="00000000" w:rsidR="00000000" w:rsidRPr="00000000">
          <w:rPr>
            <w:rFonts w:ascii="David" w:cs="David" w:eastAsia="David" w:hAnsi="David"/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11">
        <w:r w:rsidDel="00000000" w:rsidR="00000000" w:rsidRPr="00000000">
          <w:rPr>
            <w:rFonts w:ascii="David" w:cs="David" w:eastAsia="David" w:hAnsi="David"/>
            <w:color w:val="1155cc"/>
            <w:sz w:val="24"/>
            <w:szCs w:val="24"/>
            <w:u w:val="single"/>
            <w:rtl w:val="1"/>
          </w:rPr>
          <w:t xml:space="preserve">משחק</w:t>
        </w:r>
      </w:hyperlink>
      <w:hyperlink r:id="rId12">
        <w:r w:rsidDel="00000000" w:rsidR="00000000" w:rsidRPr="00000000">
          <w:rPr>
            <w:rFonts w:ascii="David" w:cs="David" w:eastAsia="David" w:hAnsi="David"/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13">
        <w:r w:rsidDel="00000000" w:rsidR="00000000" w:rsidRPr="00000000">
          <w:rPr>
            <w:rFonts w:ascii="David" w:cs="David" w:eastAsia="David" w:hAnsi="David"/>
            <w:color w:val="1155cc"/>
            <w:sz w:val="24"/>
            <w:szCs w:val="24"/>
            <w:u w:val="single"/>
            <w:rtl w:val="1"/>
          </w:rPr>
          <w:t xml:space="preserve">עסקאות</w:t>
        </w:r>
      </w:hyperlink>
      <w:hyperlink r:id="rId14">
        <w:r w:rsidDel="00000000" w:rsidR="00000000" w:rsidRPr="00000000">
          <w:rPr>
            <w:rFonts w:ascii="David" w:cs="David" w:eastAsia="David" w:hAnsi="David"/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15">
        <w:r w:rsidDel="00000000" w:rsidR="00000000" w:rsidRPr="00000000">
          <w:rPr>
            <w:rFonts w:ascii="David" w:cs="David" w:eastAsia="David" w:hAnsi="David"/>
            <w:color w:val="1155cc"/>
            <w:sz w:val="24"/>
            <w:szCs w:val="24"/>
            <w:u w:val="single"/>
            <w:rtl w:val="1"/>
          </w:rPr>
          <w:t xml:space="preserve">הטיעון</w:t>
        </w:r>
      </w:hyperlink>
      <w:hyperlink r:id="rId16">
        <w:r w:rsidDel="00000000" w:rsidR="00000000" w:rsidRPr="00000000">
          <w:rPr>
            <w:rFonts w:ascii="David" w:cs="David" w:eastAsia="David" w:hAnsi="David"/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17">
        <w:r w:rsidDel="00000000" w:rsidR="00000000" w:rsidRPr="00000000">
          <w:rPr>
            <w:rFonts w:ascii="David" w:cs="David" w:eastAsia="David" w:hAnsi="David"/>
            <w:color w:val="1155cc"/>
            <w:sz w:val="24"/>
            <w:szCs w:val="24"/>
            <w:u w:val="single"/>
            <w:rtl w:val="1"/>
          </w:rPr>
          <w:t xml:space="preserve">הוא</w:t>
        </w:r>
      </w:hyperlink>
      <w:hyperlink r:id="rId18">
        <w:r w:rsidDel="00000000" w:rsidR="00000000" w:rsidRPr="00000000">
          <w:rPr>
            <w:rFonts w:ascii="David" w:cs="David" w:eastAsia="David" w:hAnsi="David"/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19">
        <w:r w:rsidDel="00000000" w:rsidR="00000000" w:rsidRPr="00000000">
          <w:rPr>
            <w:rFonts w:ascii="David" w:cs="David" w:eastAsia="David" w:hAnsi="David"/>
            <w:color w:val="1155cc"/>
            <w:sz w:val="24"/>
            <w:szCs w:val="24"/>
            <w:u w:val="single"/>
            <w:rtl w:val="1"/>
          </w:rPr>
          <w:t xml:space="preserve">משחק</w:t>
        </w:r>
      </w:hyperlink>
      <w:hyperlink r:id="rId20">
        <w:r w:rsidDel="00000000" w:rsidR="00000000" w:rsidRPr="00000000">
          <w:rPr>
            <w:rFonts w:ascii="David" w:cs="David" w:eastAsia="David" w:hAnsi="David"/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21">
        <w:r w:rsidDel="00000000" w:rsidR="00000000" w:rsidRPr="00000000">
          <w:rPr>
            <w:rFonts w:ascii="David" w:cs="David" w:eastAsia="David" w:hAnsi="David"/>
            <w:color w:val="1155cc"/>
            <w:sz w:val="24"/>
            <w:szCs w:val="24"/>
            <w:u w:val="single"/>
            <w:rtl w:val="1"/>
          </w:rPr>
          <w:t xml:space="preserve">סחיטה</w:t>
        </w:r>
      </w:hyperlink>
      <w:hyperlink r:id="rId22">
        <w:r w:rsidDel="00000000" w:rsidR="00000000" w:rsidRPr="00000000">
          <w:rPr>
            <w:rFonts w:ascii="David" w:cs="David" w:eastAsia="David" w:hAnsi="David"/>
            <w:color w:val="1155cc"/>
            <w:sz w:val="24"/>
            <w:szCs w:val="24"/>
            <w:u w:val="single"/>
            <w:rtl w:val="1"/>
          </w:rPr>
          <w:t xml:space="preserve">?"</w:t>
        </w:r>
      </w:hyperlink>
      <w:r w:rsidDel="00000000" w:rsidR="00000000" w:rsidRPr="00000000">
        <w:rPr>
          <w:rFonts w:ascii="David" w:cs="David" w:eastAsia="David" w:hAnsi="David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לכתוב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מסמך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חוות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דעת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קצר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u w:val="single"/>
          <w:rtl w:val="1"/>
        </w:rPr>
        <w:t xml:space="preserve">עד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u w:val="single"/>
          <w:rtl w:val="1"/>
        </w:rPr>
        <w:t xml:space="preserve">עמוד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u w:val="single"/>
          <w:rtl w:val="1"/>
        </w:rPr>
        <w:t xml:space="preserve">אחד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המאמר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הכולל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הביקורות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המהותיות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המרכזיות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לגביו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בחלוקה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לראשי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פרקים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המסמך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להגיש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בהתאם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לכללים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הבאים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גופן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0"/>
        </w:rPr>
        <w:t xml:space="preserve">David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גודל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12,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רווח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1.5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ושוליים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2.5 (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מכל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הצדדים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).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בכותרת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המסמך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ובשם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המסמך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לציין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תעודת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זהות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בלבד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נדגיש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המטלה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תיבחן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אנונימי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15">
      <w:pPr>
        <w:bidi w:val="1"/>
        <w:spacing w:line="360" w:lineRule="auto"/>
        <w:jc w:val="both"/>
        <w:rPr>
          <w:rFonts w:ascii="David" w:cs="David" w:eastAsia="David" w:hAnsi="David"/>
          <w:b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spacing w:line="360" w:lineRule="auto"/>
        <w:jc w:val="both"/>
        <w:rPr>
          <w:rFonts w:ascii="David" w:cs="David" w:eastAsia="David" w:hAnsi="David"/>
          <w:b w:val="0"/>
          <w:color w:val="000000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לצורך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הצלחה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במשימה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נמליץ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ראשית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לנסות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לזהות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הטענה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המרכזית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המאמר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הטיעון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ואת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הקשר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תת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פרק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לטיעון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המרכזי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נמליץ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להתמקד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בהערות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שעשויות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לשפר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המאמר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המטרה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הפיכת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המאמר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לקולח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משכנע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ומדויק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ועל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מוטב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להימנע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מהבעת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דעה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הסוגיות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המהותיות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הנדונות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במאמר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בחוות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הדעת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לשלב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הערות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מאקרו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לבין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הערות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מיקרו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הערות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מאקרו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מתייחסות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לבעיות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יסודיות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במאמר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מתודולוגיה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לוגיקה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מידת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שכנוע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בעוד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שהערות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מיקרו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מתייחסות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לבעיות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נקודתיות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נמליץ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להתמקד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בהערות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מהותיות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ולנסח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ן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ממוקד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ומנומק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לצורך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מומלץ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להימנע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למשל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מביקורת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סגנון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הכתיבה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והערות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לשוניות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אחרות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נדגיש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בבחינת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מטלת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הכתיבה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נתרכז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באיכות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הטענות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בכמותן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בחינת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חוות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הדעת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תתמקד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בידע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המשפטי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המועמדים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ות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ביכולת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הקריאה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הביקורתית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המאמרים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נדגיש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העבודה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עצמאית</w:t>
      </w:r>
      <w:r w:rsidDel="00000000" w:rsidR="00000000" w:rsidRPr="00000000">
        <w:rPr>
          <w:rFonts w:ascii="David" w:cs="David" w:eastAsia="David" w:hAnsi="David"/>
          <w:b w:val="0"/>
          <w:color w:val="000000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7">
      <w:pPr>
        <w:bidi w:val="1"/>
        <w:spacing w:line="360" w:lineRule="auto"/>
        <w:jc w:val="both"/>
        <w:rPr>
          <w:rFonts w:ascii="David" w:cs="David" w:eastAsia="David" w:hAnsi="David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spacing w:line="360" w:lineRule="auto"/>
        <w:jc w:val="both"/>
        <w:rPr>
          <w:rFonts w:ascii="David" w:cs="David" w:eastAsia="David" w:hAnsi="David"/>
          <w:b w:val="1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מטלת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הכתיבה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קורות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החיים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ואת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גיליון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הציונים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להגיש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לתאריך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 02/11/2020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בשעה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 12:00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בצהריים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לכתובת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הדוא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0"/>
        </w:rPr>
        <w:t xml:space="preserve">: </w:t>
      </w:r>
      <w:hyperlink r:id="rId23">
        <w:r w:rsidDel="00000000" w:rsidR="00000000" w:rsidRPr="00000000">
          <w:rPr>
            <w:rFonts w:ascii="David" w:cs="David" w:eastAsia="David" w:hAnsi="David"/>
            <w:b w:val="1"/>
            <w:color w:val="1155cc"/>
            <w:sz w:val="24"/>
            <w:szCs w:val="24"/>
            <w:u w:val="single"/>
            <w:rtl w:val="0"/>
          </w:rPr>
          <w:t xml:space="preserve">mahat2021.eil@gmail.com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בכותרת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המייל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לציין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David" w:cs="David" w:eastAsia="David" w:hAnsi="David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תעודת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הזהות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המועמד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בלבד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לציין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במקום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u w:val="single"/>
          <w:rtl w:val="1"/>
        </w:rPr>
        <w:t xml:space="preserve">בולט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שהמועמדות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מוגשת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למערכת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משפט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חברה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ותרבות</w:t>
      </w:r>
      <w:r w:rsidDel="00000000" w:rsidR="00000000" w:rsidRPr="00000000">
        <w:rPr>
          <w:rFonts w:ascii="David" w:cs="David" w:eastAsia="David" w:hAnsi="David"/>
          <w:b w:val="1"/>
          <w:color w:val="000000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spacing w:line="360" w:lineRule="auto"/>
        <w:ind w:right="-284"/>
        <w:rPr>
          <w:rFonts w:ascii="David" w:cs="David" w:eastAsia="David" w:hAnsi="David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spacing w:line="360" w:lineRule="auto"/>
        <w:ind w:right="-284"/>
        <w:rPr>
          <w:rFonts w:ascii="David" w:cs="David" w:eastAsia="David" w:hAnsi="David"/>
          <w:color w:val="000000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שאלות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להפנות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למייל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המערכת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spacing w:line="360" w:lineRule="auto"/>
        <w:jc w:val="center"/>
        <w:rPr>
          <w:rFonts w:ascii="David" w:cs="David" w:eastAsia="David" w:hAnsi="David"/>
          <w:color w:val="000000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בהצלחה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 w14:paraId="0000001C">
      <w:pPr>
        <w:bidi w:val="1"/>
        <w:spacing w:line="360" w:lineRule="auto"/>
        <w:jc w:val="right"/>
        <w:rPr>
          <w:rFonts w:ascii="David" w:cs="David" w:eastAsia="David" w:hAnsi="David"/>
          <w:color w:val="000000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סתיו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גור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יצחק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בומבך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מטר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בן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ישי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spacing w:line="360" w:lineRule="auto"/>
        <w:ind w:left="0" w:firstLine="0"/>
        <w:jc w:val="right"/>
        <w:rPr>
          <w:rFonts w:ascii="David" w:cs="David" w:eastAsia="David" w:hAnsi="David"/>
          <w:color w:val="000000"/>
          <w:sz w:val="24"/>
          <w:szCs w:val="24"/>
        </w:rPr>
      </w:pP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עורכי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משפט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חברה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ותרבות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כרך</w:t>
      </w:r>
      <w:r w:rsidDel="00000000" w:rsidR="00000000" w:rsidRPr="00000000">
        <w:rPr>
          <w:rFonts w:ascii="David" w:cs="David" w:eastAsia="David" w:hAnsi="David"/>
          <w:color w:val="000000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David" w:cs="David" w:eastAsia="David" w:hAnsi="David"/>
          <w:sz w:val="24"/>
          <w:szCs w:val="24"/>
          <w:rtl w:val="1"/>
        </w:rPr>
        <w:t xml:space="preserve">'</w:t>
      </w:r>
      <w:r w:rsidDel="00000000" w:rsidR="00000000" w:rsidRPr="00000000">
        <w:rPr>
          <w:rtl w:val="0"/>
        </w:rPr>
      </w:r>
    </w:p>
    <w:sectPr>
      <w:headerReference r:id="rId24" w:type="default"/>
      <w:pgSz w:h="16838" w:w="11906"/>
      <w:pgMar w:bottom="1134" w:top="1134" w:left="697" w:right="697" w:header="709" w:footer="709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avid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1"/>
      <w:bidi w:val="1"/>
      <w:spacing w:after="120" w:lineRule="auto"/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2629780</wp:posOffset>
          </wp:positionH>
          <wp:positionV relativeFrom="paragraph">
            <wp:posOffset>-339723</wp:posOffset>
          </wp:positionV>
          <wp:extent cx="1415560" cy="795131"/>
          <wp:effectExtent b="0" l="0" r="0" t="0"/>
          <wp:wrapNone/>
          <wp:docPr descr="http://img.bizportal.co.il/giflib/news/rsPhoto/sz_148/rsz_615_346_tau_logo615_111115.jpg" id="9" name="image1.jpg"/>
          <a:graphic>
            <a:graphicData uri="http://schemas.openxmlformats.org/drawingml/2006/picture">
              <pic:pic>
                <pic:nvPicPr>
                  <pic:cNvPr descr="http://img.bizportal.co.il/giflib/news/rsPhoto/sz_148/rsz_615_346_tau_logo615_111115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5560" cy="79513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keepNext w:val="1"/>
      <w:bidi w:val="1"/>
      <w:spacing w:after="120" w:lineRule="auto"/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1"/>
      </w:rPr>
      <w:t xml:space="preserve">משפט</w:t>
    </w: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1"/>
      </w:rPr>
      <w:t xml:space="preserve">, </w:t>
    </w: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1"/>
      </w:rPr>
      <w:t xml:space="preserve">חברה</w:t>
    </w: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1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1"/>
      </w:rPr>
      <w:t xml:space="preserve">ותרבות</w:t>
    </w: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1"/>
      </w:rPr>
      <w:t xml:space="preserve">                                 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b w:val="1"/>
        <w:sz w:val="26"/>
        <w:szCs w:val="26"/>
        <w:rtl w:val="0"/>
      </w:rPr>
      <w:t xml:space="preserve">Law, Society and Culture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bidi w:val="1"/>
      <w:spacing w:after="120" w:line="259" w:lineRule="auto"/>
      <w:jc w:val="center"/>
      <w:rPr>
        <w:rFonts w:ascii="David" w:cs="David" w:eastAsia="David" w:hAnsi="David"/>
      </w:rPr>
    </w:pPr>
    <w:r w:rsidDel="00000000" w:rsidR="00000000" w:rsidRPr="00000000">
      <w:rPr>
        <w:rFonts w:ascii="David" w:cs="David" w:eastAsia="David" w:hAnsi="David"/>
        <w:rtl w:val="1"/>
      </w:rPr>
      <w:t xml:space="preserve">הפקולטה</w:t>
    </w:r>
    <w:r w:rsidDel="00000000" w:rsidR="00000000" w:rsidRPr="00000000">
      <w:rPr>
        <w:rFonts w:ascii="David" w:cs="David" w:eastAsia="David" w:hAnsi="David"/>
        <w:rtl w:val="1"/>
      </w:rPr>
      <w:t xml:space="preserve"> </w:t>
    </w:r>
    <w:r w:rsidDel="00000000" w:rsidR="00000000" w:rsidRPr="00000000">
      <w:rPr>
        <w:rFonts w:ascii="David" w:cs="David" w:eastAsia="David" w:hAnsi="David"/>
        <w:rtl w:val="1"/>
      </w:rPr>
      <w:t xml:space="preserve">למשפטים</w:t>
    </w:r>
    <w:r w:rsidDel="00000000" w:rsidR="00000000" w:rsidRPr="00000000">
      <w:rPr>
        <w:rFonts w:ascii="David" w:cs="David" w:eastAsia="David" w:hAnsi="David"/>
        <w:rtl w:val="1"/>
      </w:rPr>
      <w:t xml:space="preserve"> </w:t>
    </w:r>
    <w:r w:rsidDel="00000000" w:rsidR="00000000" w:rsidRPr="00000000">
      <w:rPr>
        <w:rFonts w:ascii="David" w:cs="David" w:eastAsia="David" w:hAnsi="David"/>
        <w:rtl w:val="1"/>
      </w:rPr>
      <w:t xml:space="preserve">ע</w:t>
    </w:r>
    <w:r w:rsidDel="00000000" w:rsidR="00000000" w:rsidRPr="00000000">
      <w:rPr>
        <w:rFonts w:ascii="David" w:cs="David" w:eastAsia="David" w:hAnsi="David"/>
        <w:rtl w:val="1"/>
      </w:rPr>
      <w:t xml:space="preserve">"</w:t>
    </w:r>
    <w:r w:rsidDel="00000000" w:rsidR="00000000" w:rsidRPr="00000000">
      <w:rPr>
        <w:rFonts w:ascii="David" w:cs="David" w:eastAsia="David" w:hAnsi="David"/>
        <w:rtl w:val="1"/>
      </w:rPr>
      <w:t xml:space="preserve">ש</w:t>
    </w:r>
    <w:r w:rsidDel="00000000" w:rsidR="00000000" w:rsidRPr="00000000">
      <w:rPr>
        <w:rFonts w:ascii="David" w:cs="David" w:eastAsia="David" w:hAnsi="David"/>
        <w:rtl w:val="1"/>
      </w:rPr>
      <w:t xml:space="preserve"> </w:t>
    </w:r>
    <w:r w:rsidDel="00000000" w:rsidR="00000000" w:rsidRPr="00000000">
      <w:rPr>
        <w:rFonts w:ascii="David" w:cs="David" w:eastAsia="David" w:hAnsi="David"/>
        <w:rtl w:val="1"/>
      </w:rPr>
      <w:t xml:space="preserve">בוכמן</w:t>
    </w:r>
    <w:r w:rsidDel="00000000" w:rsidR="00000000" w:rsidRPr="00000000">
      <w:rPr>
        <w:rFonts w:ascii="David" w:cs="David" w:eastAsia="David" w:hAnsi="David"/>
        <w:rtl w:val="1"/>
      </w:rPr>
      <w:t xml:space="preserve">                                                                                          </w:t>
    </w:r>
    <w:r w:rsidDel="00000000" w:rsidR="00000000" w:rsidRPr="00000000">
      <w:rPr>
        <w:rFonts w:ascii="David" w:cs="David" w:eastAsia="David" w:hAnsi="David"/>
        <w:rtl w:val="0"/>
      </w:rPr>
      <w:t xml:space="preserve">The</w:t>
    </w:r>
    <w:r w:rsidDel="00000000" w:rsidR="00000000" w:rsidRPr="00000000">
      <w:rPr>
        <w:rFonts w:ascii="David" w:cs="David" w:eastAsia="David" w:hAnsi="David"/>
        <w:rtl w:val="0"/>
      </w:rPr>
      <w:t xml:space="preserve"> </w:t>
    </w:r>
    <w:r w:rsidDel="00000000" w:rsidR="00000000" w:rsidRPr="00000000">
      <w:rPr>
        <w:rFonts w:ascii="David" w:cs="David" w:eastAsia="David" w:hAnsi="David"/>
        <w:rtl w:val="0"/>
      </w:rPr>
      <w:t xml:space="preserve">Buchmann</w:t>
    </w:r>
    <w:r w:rsidDel="00000000" w:rsidR="00000000" w:rsidRPr="00000000">
      <w:rPr>
        <w:rFonts w:ascii="David" w:cs="David" w:eastAsia="David" w:hAnsi="David"/>
        <w:rtl w:val="0"/>
      </w:rPr>
      <w:t xml:space="preserve"> </w:t>
    </w:r>
    <w:r w:rsidDel="00000000" w:rsidR="00000000" w:rsidRPr="00000000">
      <w:rPr>
        <w:rFonts w:ascii="David" w:cs="David" w:eastAsia="David" w:hAnsi="David"/>
        <w:rtl w:val="0"/>
      </w:rPr>
      <w:t xml:space="preserve">Faculty</w:t>
    </w:r>
    <w:r w:rsidDel="00000000" w:rsidR="00000000" w:rsidRPr="00000000">
      <w:rPr>
        <w:rFonts w:ascii="David" w:cs="David" w:eastAsia="David" w:hAnsi="David"/>
        <w:rtl w:val="0"/>
      </w:rPr>
      <w:t xml:space="preserve"> </w:t>
    </w:r>
    <w:r w:rsidDel="00000000" w:rsidR="00000000" w:rsidRPr="00000000">
      <w:rPr>
        <w:rFonts w:ascii="David" w:cs="David" w:eastAsia="David" w:hAnsi="David"/>
        <w:rtl w:val="0"/>
      </w:rPr>
      <w:t xml:space="preserve">of</w:t>
    </w:r>
    <w:r w:rsidDel="00000000" w:rsidR="00000000" w:rsidRPr="00000000">
      <w:rPr>
        <w:rFonts w:ascii="David" w:cs="David" w:eastAsia="David" w:hAnsi="David"/>
        <w:rtl w:val="0"/>
      </w:rPr>
      <w:t xml:space="preserve"> </w:t>
    </w:r>
    <w:r w:rsidDel="00000000" w:rsidR="00000000" w:rsidRPr="00000000">
      <w:rPr>
        <w:rFonts w:ascii="David" w:cs="David" w:eastAsia="David" w:hAnsi="David"/>
        <w:rtl w:val="0"/>
      </w:rPr>
      <w:t xml:space="preserve">Law</w:t>
    </w:r>
    <w:r w:rsidDel="00000000" w:rsidR="00000000" w:rsidRPr="00000000">
      <w:rPr>
        <w:rFonts w:ascii="David" w:cs="David" w:eastAsia="David" w:hAnsi="David"/>
        <w:rtl w:val="1"/>
      </w:rPr>
      <w:t xml:space="preserve"> </w:t>
    </w:r>
  </w:p>
  <w:p w:rsidR="00000000" w:rsidDel="00000000" w:rsidP="00000000" w:rsidRDefault="00000000" w:rsidRPr="00000000" w14:paraId="00000021">
    <w:pPr>
      <w:bidi w:val="1"/>
      <w:spacing w:after="120" w:line="259" w:lineRule="auto"/>
      <w:jc w:val="center"/>
      <w:rPr>
        <w:rFonts w:ascii="David" w:cs="David" w:eastAsia="David" w:hAnsi="David"/>
        <w:u w:val="single"/>
      </w:rPr>
    </w:pPr>
    <w:r w:rsidDel="00000000" w:rsidR="00000000" w:rsidRPr="00000000">
      <w:rPr>
        <w:rFonts w:ascii="David" w:cs="David" w:eastAsia="David" w:hAnsi="David"/>
        <w:u w:val="single"/>
        <w:rtl w:val="1"/>
      </w:rPr>
      <w:t xml:space="preserve">פרופ</w:t>
    </w:r>
    <w:r w:rsidDel="00000000" w:rsidR="00000000" w:rsidRPr="00000000">
      <w:rPr>
        <w:rFonts w:ascii="David" w:cs="David" w:eastAsia="David" w:hAnsi="David"/>
        <w:u w:val="single"/>
        <w:rtl w:val="1"/>
      </w:rPr>
      <w:t xml:space="preserve">' </w:t>
    </w:r>
    <w:r w:rsidDel="00000000" w:rsidR="00000000" w:rsidRPr="00000000">
      <w:rPr>
        <w:rFonts w:ascii="David" w:cs="David" w:eastAsia="David" w:hAnsi="David"/>
        <w:u w:val="single"/>
        <w:rtl w:val="1"/>
      </w:rPr>
      <w:t xml:space="preserve">אסף</w:t>
    </w:r>
    <w:r w:rsidDel="00000000" w:rsidR="00000000" w:rsidRPr="00000000">
      <w:rPr>
        <w:rFonts w:ascii="David" w:cs="David" w:eastAsia="David" w:hAnsi="David"/>
        <w:u w:val="single"/>
        <w:rtl w:val="1"/>
      </w:rPr>
      <w:t xml:space="preserve"> </w:t>
    </w:r>
    <w:r w:rsidDel="00000000" w:rsidR="00000000" w:rsidRPr="00000000">
      <w:rPr>
        <w:rFonts w:ascii="David" w:cs="David" w:eastAsia="David" w:hAnsi="David"/>
        <w:u w:val="single"/>
        <w:rtl w:val="1"/>
      </w:rPr>
      <w:t xml:space="preserve">לחובסקי</w:t>
    </w:r>
    <w:r w:rsidDel="00000000" w:rsidR="00000000" w:rsidRPr="00000000">
      <w:rPr>
        <w:rFonts w:ascii="David" w:cs="David" w:eastAsia="David" w:hAnsi="David"/>
        <w:u w:val="single"/>
        <w:rtl w:val="1"/>
      </w:rPr>
      <w:t xml:space="preserve">, </w:t>
    </w:r>
    <w:r w:rsidDel="00000000" w:rsidR="00000000" w:rsidRPr="00000000">
      <w:rPr>
        <w:rFonts w:ascii="David" w:cs="David" w:eastAsia="David" w:hAnsi="David"/>
        <w:u w:val="single"/>
        <w:rtl w:val="1"/>
      </w:rPr>
      <w:t xml:space="preserve">עורך</w:t>
    </w:r>
    <w:r w:rsidDel="00000000" w:rsidR="00000000" w:rsidRPr="00000000">
      <w:rPr>
        <w:rFonts w:ascii="David" w:cs="David" w:eastAsia="David" w:hAnsi="David"/>
        <w:u w:val="single"/>
        <w:rtl w:val="1"/>
      </w:rPr>
      <w:t xml:space="preserve"> </w:t>
    </w:r>
    <w:r w:rsidDel="00000000" w:rsidR="00000000" w:rsidRPr="00000000">
      <w:rPr>
        <w:rFonts w:ascii="David" w:cs="David" w:eastAsia="David" w:hAnsi="David"/>
        <w:u w:val="single"/>
        <w:rtl w:val="1"/>
      </w:rPr>
      <w:t xml:space="preserve">ראשי</w:t>
    </w:r>
    <w:r w:rsidDel="00000000" w:rsidR="00000000" w:rsidRPr="00000000">
      <w:rPr>
        <w:rFonts w:ascii="David" w:cs="David" w:eastAsia="David" w:hAnsi="David"/>
        <w:u w:val="single"/>
        <w:rtl w:val="1"/>
      </w:rPr>
      <w:t xml:space="preserve">                                                                               </w:t>
    </w:r>
    <w:r w:rsidDel="00000000" w:rsidR="00000000" w:rsidRPr="00000000">
      <w:rPr>
        <w:rFonts w:ascii="David" w:cs="David" w:eastAsia="David" w:hAnsi="David"/>
        <w:u w:val="single"/>
        <w:rtl w:val="0"/>
      </w:rPr>
      <w:t xml:space="preserve">Prof</w:t>
    </w:r>
    <w:r w:rsidDel="00000000" w:rsidR="00000000" w:rsidRPr="00000000">
      <w:rPr>
        <w:rFonts w:ascii="David" w:cs="David" w:eastAsia="David" w:hAnsi="David"/>
        <w:u w:val="single"/>
        <w:rtl w:val="0"/>
      </w:rPr>
      <w:t xml:space="preserve">. </w:t>
    </w:r>
    <w:r w:rsidDel="00000000" w:rsidR="00000000" w:rsidRPr="00000000">
      <w:rPr>
        <w:rFonts w:ascii="David" w:cs="David" w:eastAsia="David" w:hAnsi="David"/>
        <w:u w:val="single"/>
        <w:rtl w:val="0"/>
      </w:rPr>
      <w:t xml:space="preserve">Assaf</w:t>
    </w:r>
    <w:r w:rsidDel="00000000" w:rsidR="00000000" w:rsidRPr="00000000">
      <w:rPr>
        <w:rFonts w:ascii="David" w:cs="David" w:eastAsia="David" w:hAnsi="David"/>
        <w:u w:val="single"/>
        <w:rtl w:val="0"/>
      </w:rPr>
      <w:t xml:space="preserve"> </w:t>
    </w:r>
    <w:r w:rsidDel="00000000" w:rsidR="00000000" w:rsidRPr="00000000">
      <w:rPr>
        <w:rFonts w:ascii="David" w:cs="David" w:eastAsia="David" w:hAnsi="David"/>
        <w:u w:val="single"/>
        <w:rtl w:val="0"/>
      </w:rPr>
      <w:t xml:space="preserve">Likhovski</w:t>
    </w:r>
    <w:r w:rsidDel="00000000" w:rsidR="00000000" w:rsidRPr="00000000">
      <w:rPr>
        <w:rFonts w:ascii="David" w:cs="David" w:eastAsia="David" w:hAnsi="David"/>
        <w:u w:val="single"/>
        <w:rtl w:val="0"/>
      </w:rPr>
      <w:t xml:space="preserve">, </w:t>
    </w:r>
    <w:r w:rsidDel="00000000" w:rsidR="00000000" w:rsidRPr="00000000">
      <w:rPr>
        <w:rFonts w:ascii="David" w:cs="David" w:eastAsia="David" w:hAnsi="David"/>
        <w:u w:val="single"/>
        <w:rtl w:val="0"/>
      </w:rPr>
      <w:t xml:space="preserve">Chief</w:t>
    </w:r>
    <w:r w:rsidDel="00000000" w:rsidR="00000000" w:rsidRPr="00000000">
      <w:rPr>
        <w:rFonts w:ascii="David" w:cs="David" w:eastAsia="David" w:hAnsi="David"/>
        <w:u w:val="single"/>
        <w:rtl w:val="0"/>
      </w:rPr>
      <w:t xml:space="preserve"> </w:t>
    </w:r>
    <w:r w:rsidDel="00000000" w:rsidR="00000000" w:rsidRPr="00000000">
      <w:rPr>
        <w:rFonts w:ascii="David" w:cs="David" w:eastAsia="David" w:hAnsi="David"/>
        <w:u w:val="single"/>
        <w:rtl w:val="0"/>
      </w:rPr>
      <w:t xml:space="preserve">Editor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383F73"/>
    <w:pPr>
      <w:bidi w:val="1"/>
      <w:spacing w:after="0" w:line="240" w:lineRule="auto"/>
    </w:pPr>
    <w:rPr>
      <w:rFonts w:ascii="Calibri" w:cs="Times New Roman" w:hAnsi="Calibri"/>
      <w:sz w:val="22"/>
      <w:szCs w:val="2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Hyperlink">
    <w:name w:val="Hyperlink"/>
    <w:basedOn w:val="a0"/>
    <w:uiPriority w:val="99"/>
    <w:unhideWhenUsed w:val="1"/>
    <w:rsid w:val="00383F73"/>
    <w:rPr>
      <w:color w:val="0563c1" w:themeColor="hyperlink"/>
      <w:u w:val="single"/>
    </w:rPr>
  </w:style>
  <w:style w:type="character" w:styleId="a3">
    <w:name w:val="Strong"/>
    <w:basedOn w:val="a0"/>
    <w:uiPriority w:val="22"/>
    <w:qFormat w:val="1"/>
    <w:rsid w:val="00383F73"/>
    <w:rPr>
      <w:b w:val="1"/>
      <w:bCs w:val="1"/>
    </w:rPr>
  </w:style>
  <w:style w:type="character" w:styleId="1" w:customStyle="1">
    <w:name w:val="אזכור לא מזוהה1"/>
    <w:basedOn w:val="a0"/>
    <w:uiPriority w:val="99"/>
    <w:semiHidden w:val="1"/>
    <w:unhideWhenUsed w:val="1"/>
    <w:rsid w:val="00282FF8"/>
    <w:rPr>
      <w:color w:val="605e5c"/>
      <w:shd w:color="auto" w:fill="e1dfdd" w:val="clear"/>
    </w:rPr>
  </w:style>
  <w:style w:type="paragraph" w:styleId="a4">
    <w:name w:val="header"/>
    <w:basedOn w:val="a"/>
    <w:link w:val="a5"/>
    <w:uiPriority w:val="99"/>
    <w:unhideWhenUsed w:val="1"/>
    <w:rsid w:val="003840C7"/>
    <w:pPr>
      <w:tabs>
        <w:tab w:val="center" w:pos="4153"/>
        <w:tab w:val="right" w:pos="8306"/>
      </w:tabs>
    </w:pPr>
  </w:style>
  <w:style w:type="character" w:styleId="a5" w:customStyle="1">
    <w:name w:val="כותרת עליונה תו"/>
    <w:basedOn w:val="a0"/>
    <w:link w:val="a4"/>
    <w:uiPriority w:val="99"/>
    <w:rsid w:val="003840C7"/>
    <w:rPr>
      <w:rFonts w:ascii="Calibri" w:cs="Times New Roman" w:hAnsi="Calibri"/>
      <w:sz w:val="22"/>
      <w:szCs w:val="22"/>
    </w:rPr>
  </w:style>
  <w:style w:type="paragraph" w:styleId="a6">
    <w:name w:val="footer"/>
    <w:basedOn w:val="a"/>
    <w:link w:val="a7"/>
    <w:uiPriority w:val="99"/>
    <w:unhideWhenUsed w:val="1"/>
    <w:rsid w:val="003840C7"/>
    <w:pPr>
      <w:tabs>
        <w:tab w:val="center" w:pos="4153"/>
        <w:tab w:val="right" w:pos="8306"/>
      </w:tabs>
    </w:pPr>
  </w:style>
  <w:style w:type="character" w:styleId="a7" w:customStyle="1">
    <w:name w:val="כותרת תחתונה תו"/>
    <w:basedOn w:val="a0"/>
    <w:link w:val="a6"/>
    <w:uiPriority w:val="99"/>
    <w:rsid w:val="003840C7"/>
    <w:rPr>
      <w:rFonts w:ascii="Calibri" w:cs="Times New Roman" w:hAnsi="Calibri"/>
      <w:sz w:val="22"/>
      <w:szCs w:val="22"/>
    </w:rPr>
  </w:style>
  <w:style w:type="character" w:styleId="FollowedHyperlink">
    <w:name w:val="FollowedHyperlink"/>
    <w:basedOn w:val="a0"/>
    <w:uiPriority w:val="99"/>
    <w:semiHidden w:val="1"/>
    <w:unhideWhenUsed w:val="1"/>
    <w:rsid w:val="00F2455B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 w:val="1"/>
    <w:unhideWhenUsed w:val="1"/>
    <w:rsid w:val="004760C0"/>
    <w:rPr>
      <w:rFonts w:ascii="Tahoma" w:cs="Tahoma" w:hAnsi="Tahoma"/>
      <w:sz w:val="18"/>
      <w:szCs w:val="18"/>
    </w:rPr>
  </w:style>
  <w:style w:type="character" w:styleId="a9" w:customStyle="1">
    <w:name w:val="טקסט בלונים תו"/>
    <w:basedOn w:val="a0"/>
    <w:link w:val="a8"/>
    <w:uiPriority w:val="99"/>
    <w:semiHidden w:val="1"/>
    <w:rsid w:val="004760C0"/>
    <w:rPr>
      <w:rFonts w:ascii="Tahoma" w:cs="Tahoma" w:hAnsi="Tahoma"/>
      <w:sz w:val="18"/>
      <w:szCs w:val="18"/>
    </w:rPr>
  </w:style>
  <w:style w:type="character" w:styleId="aa">
    <w:name w:val="annotation reference"/>
    <w:basedOn w:val="a0"/>
    <w:uiPriority w:val="99"/>
    <w:semiHidden w:val="1"/>
    <w:unhideWhenUsed w:val="1"/>
    <w:rsid w:val="008441F7"/>
    <w:rPr>
      <w:sz w:val="16"/>
      <w:szCs w:val="16"/>
    </w:rPr>
  </w:style>
  <w:style w:type="paragraph" w:styleId="ab">
    <w:name w:val="annotation text"/>
    <w:basedOn w:val="a"/>
    <w:link w:val="ac"/>
    <w:uiPriority w:val="99"/>
    <w:semiHidden w:val="1"/>
    <w:unhideWhenUsed w:val="1"/>
    <w:rsid w:val="008441F7"/>
    <w:rPr>
      <w:sz w:val="20"/>
      <w:szCs w:val="20"/>
    </w:rPr>
  </w:style>
  <w:style w:type="character" w:styleId="ac" w:customStyle="1">
    <w:name w:val="טקסט הערה תו"/>
    <w:basedOn w:val="a0"/>
    <w:link w:val="ab"/>
    <w:uiPriority w:val="99"/>
    <w:semiHidden w:val="1"/>
    <w:rsid w:val="008441F7"/>
    <w:rPr>
      <w:rFonts w:ascii="Calibri" w:cs="Times New Roman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 w:val="1"/>
    <w:unhideWhenUsed w:val="1"/>
    <w:rsid w:val="008441F7"/>
    <w:rPr>
      <w:b w:val="1"/>
      <w:bCs w:val="1"/>
    </w:rPr>
  </w:style>
  <w:style w:type="character" w:styleId="ae" w:customStyle="1">
    <w:name w:val="נושא הערה תו"/>
    <w:basedOn w:val="ac"/>
    <w:link w:val="ad"/>
    <w:uiPriority w:val="99"/>
    <w:semiHidden w:val="1"/>
    <w:rsid w:val="008441F7"/>
    <w:rPr>
      <w:rFonts w:ascii="Calibri" w:cs="Times New Roman" w:hAnsi="Calibri"/>
      <w:b w:val="1"/>
      <w:bCs w:val="1"/>
      <w:sz w:val="20"/>
      <w:szCs w:val="20"/>
    </w:rPr>
  </w:style>
  <w:style w:type="paragraph" w:styleId="af">
    <w:name w:val="Revision"/>
    <w:hidden w:val="1"/>
    <w:uiPriority w:val="99"/>
    <w:semiHidden w:val="1"/>
    <w:rsid w:val="008441F7"/>
    <w:pPr>
      <w:spacing w:after="0" w:line="240" w:lineRule="auto"/>
    </w:pPr>
    <w:rPr>
      <w:rFonts w:ascii="Calibri" w:cs="Times New Roman" w:hAnsi="Calibri"/>
      <w:sz w:val="22"/>
      <w:szCs w:val="22"/>
    </w:rPr>
  </w:style>
  <w:style w:type="character" w:styleId="2" w:customStyle="1">
    <w:name w:val="אזכור לא מזוהה2"/>
    <w:basedOn w:val="a0"/>
    <w:uiPriority w:val="99"/>
    <w:semiHidden w:val="1"/>
    <w:unhideWhenUsed w:val="1"/>
    <w:rsid w:val="00676B53"/>
    <w:rPr>
      <w:color w:val="605e5c"/>
      <w:shd w:color="auto" w:fill="e1dfdd" w:val="clear"/>
    </w:rPr>
  </w:style>
  <w:style w:type="character" w:styleId="3" w:customStyle="1">
    <w:name w:val="אזכור לא מזוהה3"/>
    <w:basedOn w:val="a0"/>
    <w:uiPriority w:val="99"/>
    <w:semiHidden w:val="1"/>
    <w:unhideWhenUsed w:val="1"/>
    <w:rsid w:val="000D6D27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bidi w:val="1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din-online.info/pdf/mht11-5.pdf" TargetMode="External"/><Relationship Id="rId11" Type="http://schemas.openxmlformats.org/officeDocument/2006/relationships/hyperlink" Target="http://din-online.info/pdf/mht11-5.pdf" TargetMode="External"/><Relationship Id="rId22" Type="http://schemas.openxmlformats.org/officeDocument/2006/relationships/hyperlink" Target="http://din-online.info/pdf/mht11-5.pdf" TargetMode="External"/><Relationship Id="rId10" Type="http://schemas.openxmlformats.org/officeDocument/2006/relationships/hyperlink" Target="http://din-online.info/pdf/mht11-5.pdf" TargetMode="External"/><Relationship Id="rId21" Type="http://schemas.openxmlformats.org/officeDocument/2006/relationships/hyperlink" Target="http://din-online.info/pdf/mht11-5.pdf" TargetMode="External"/><Relationship Id="rId13" Type="http://schemas.openxmlformats.org/officeDocument/2006/relationships/hyperlink" Target="http://din-online.info/pdf/mht11-5.pdf" TargetMode="External"/><Relationship Id="rId24" Type="http://schemas.openxmlformats.org/officeDocument/2006/relationships/header" Target="header1.xml"/><Relationship Id="rId12" Type="http://schemas.openxmlformats.org/officeDocument/2006/relationships/hyperlink" Target="http://din-online.info/pdf/mht11-5.pdf" TargetMode="External"/><Relationship Id="rId23" Type="http://schemas.openxmlformats.org/officeDocument/2006/relationships/hyperlink" Target="mailto:mahat2021.eil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din-online.info/pdf/mht11-5.pdf" TargetMode="External"/><Relationship Id="rId15" Type="http://schemas.openxmlformats.org/officeDocument/2006/relationships/hyperlink" Target="http://din-online.info/pdf/mht11-5.pdf" TargetMode="External"/><Relationship Id="rId14" Type="http://schemas.openxmlformats.org/officeDocument/2006/relationships/hyperlink" Target="http://din-online.info/pdf/mht11-5.pdf" TargetMode="External"/><Relationship Id="rId17" Type="http://schemas.openxmlformats.org/officeDocument/2006/relationships/hyperlink" Target="http://din-online.info/pdf/mht11-5.pdf" TargetMode="External"/><Relationship Id="rId16" Type="http://schemas.openxmlformats.org/officeDocument/2006/relationships/hyperlink" Target="http://din-online.info/pdf/mht11-5.pdf" TargetMode="External"/><Relationship Id="rId5" Type="http://schemas.openxmlformats.org/officeDocument/2006/relationships/styles" Target="styles.xml"/><Relationship Id="rId19" Type="http://schemas.openxmlformats.org/officeDocument/2006/relationships/hyperlink" Target="http://din-online.info/pdf/mht11-5.pdf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://din-online.info/pdf/mht11-5.pdf" TargetMode="External"/><Relationship Id="rId7" Type="http://schemas.openxmlformats.org/officeDocument/2006/relationships/hyperlink" Target="http://din-online.info/pdf/mht11-5.pdf" TargetMode="External"/><Relationship Id="rId8" Type="http://schemas.openxmlformats.org/officeDocument/2006/relationships/hyperlink" Target="http://din-online.info/pdf/mht11-5.pdf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GxfJghfSgmYSQeo8ltq3+J4giQ==">AMUW2mXKxSzm//m7OlIiJdq6hiXtu9P9/FlNNUpY6uLJuqxAnxJwuavj0N6DVI53Hn1Ho4i3cciLPT1ITCgDSbLoDpUtmUT4b3c12sOopqnmOKQTuYmGMMs+rSldqRDFa/FNoQqDWNeE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2019-09-15T08:48:00Z</dcterms:created>
  <dc:creator>sapir hay</dc:creator>
</cp:coreProperties>
</file>