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95F96" w14:textId="77777777" w:rsidR="00DB23F8" w:rsidRPr="0014083A" w:rsidRDefault="00DB23F8" w:rsidP="00056203">
      <w:pPr>
        <w:bidi w:val="0"/>
        <w:jc w:val="center"/>
        <w:rPr>
          <w:rFonts w:ascii="Times New Roman" w:hAnsi="Times New Roman" w:cs="Times New Roman"/>
          <w:b/>
          <w:bCs/>
          <w:smallCaps/>
          <w:sz w:val="32"/>
          <w:szCs w:val="32"/>
        </w:rPr>
      </w:pPr>
      <w:r w:rsidRPr="0014083A">
        <w:rPr>
          <w:rFonts w:ascii="Times New Roman" w:hAnsi="Times New Roman" w:cs="Times New Roman"/>
          <w:b/>
          <w:bCs/>
          <w:smallCaps/>
          <w:sz w:val="32"/>
          <w:szCs w:val="32"/>
        </w:rPr>
        <w:t xml:space="preserve">Convicting With Reasonable Doubt: An Evidentiary Theory of Punishment </w:t>
      </w:r>
    </w:p>
    <w:p w14:paraId="7424D0F6" w14:textId="77777777" w:rsidR="00DB23F8" w:rsidRPr="0014083A" w:rsidRDefault="00DB23F8" w:rsidP="001603B2">
      <w:pPr>
        <w:bidi w:val="0"/>
        <w:jc w:val="center"/>
        <w:rPr>
          <w:rFonts w:ascii="Times New Roman" w:hAnsi="Times New Roman" w:cs="Times New Roman"/>
          <w:b/>
          <w:bCs/>
          <w:smallCaps/>
          <w:sz w:val="24"/>
          <w:szCs w:val="24"/>
        </w:rPr>
      </w:pPr>
    </w:p>
    <w:p w14:paraId="4371548B" w14:textId="77777777" w:rsidR="00DB23F8" w:rsidRPr="0014083A" w:rsidRDefault="00DB23F8" w:rsidP="00123C68">
      <w:pPr>
        <w:bidi w:val="0"/>
        <w:jc w:val="center"/>
        <w:rPr>
          <w:rFonts w:ascii="Times New Roman" w:hAnsi="Times New Roman" w:cs="Times New Roman"/>
          <w:b/>
          <w:bCs/>
          <w:smallCaps/>
          <w:sz w:val="24"/>
          <w:szCs w:val="24"/>
        </w:rPr>
      </w:pPr>
      <w:r w:rsidRPr="0014083A">
        <w:rPr>
          <w:rFonts w:ascii="Times New Roman" w:hAnsi="Times New Roman" w:cs="Times New Roman"/>
          <w:b/>
          <w:bCs/>
          <w:smallCaps/>
          <w:sz w:val="24"/>
          <w:szCs w:val="24"/>
        </w:rPr>
        <w:t>by</w:t>
      </w:r>
    </w:p>
    <w:p w14:paraId="6DC536FA" w14:textId="77777777" w:rsidR="00DB23F8" w:rsidRPr="0014083A" w:rsidRDefault="00DB23F8" w:rsidP="00123C68">
      <w:pPr>
        <w:bidi w:val="0"/>
        <w:jc w:val="center"/>
        <w:rPr>
          <w:rFonts w:ascii="Times New Roman" w:hAnsi="Times New Roman" w:cs="Times New Roman"/>
          <w:b/>
          <w:bCs/>
          <w:smallCaps/>
          <w:sz w:val="28"/>
          <w:szCs w:val="28"/>
        </w:rPr>
      </w:pPr>
      <w:r w:rsidRPr="0014083A">
        <w:rPr>
          <w:rFonts w:ascii="Times New Roman" w:hAnsi="Times New Roman" w:cs="Times New Roman"/>
          <w:b/>
          <w:bCs/>
          <w:smallCaps/>
          <w:sz w:val="28"/>
          <w:szCs w:val="28"/>
        </w:rPr>
        <w:t>Doron Teichman</w:t>
      </w:r>
      <w:r w:rsidRPr="0014083A">
        <w:rPr>
          <w:rStyle w:val="FootnoteReference"/>
          <w:rFonts w:ascii="Times New Roman" w:hAnsi="Times New Roman"/>
          <w:sz w:val="24"/>
          <w:szCs w:val="24"/>
          <w:rtl/>
        </w:rPr>
        <w:footnoteReference w:customMarkFollows="1" w:id="1"/>
        <w:t>*</w:t>
      </w:r>
    </w:p>
    <w:p w14:paraId="41DB16E5" w14:textId="77777777" w:rsidR="00DB23F8" w:rsidRDefault="00DB23F8" w:rsidP="00202787">
      <w:pPr>
        <w:bidi w:val="0"/>
        <w:rPr>
          <w:rFonts w:ascii="Times New Roman" w:hAnsi="Times New Roman" w:cs="Times New Roman"/>
        </w:rPr>
      </w:pPr>
    </w:p>
    <w:p w14:paraId="0D0A359F" w14:textId="77777777" w:rsidR="00DB23F8" w:rsidRDefault="00DB23F8" w:rsidP="00B508B1">
      <w:pPr>
        <w:bidi w:val="0"/>
        <w:jc w:val="both"/>
        <w:rPr>
          <w:rFonts w:ascii="Times New Roman" w:hAnsi="Times New Roman" w:cs="Times New Roman"/>
          <w:i/>
          <w:iCs/>
        </w:rPr>
      </w:pPr>
      <w:r w:rsidRPr="006165F0">
        <w:rPr>
          <w:rFonts w:ascii="Times New Roman" w:hAnsi="Times New Roman" w:cs="Times New Roman"/>
          <w:i/>
          <w:iCs/>
        </w:rPr>
        <w:t xml:space="preserve">This Article presents </w:t>
      </w:r>
      <w:r>
        <w:rPr>
          <w:rFonts w:ascii="Times New Roman" w:hAnsi="Times New Roman" w:cs="Times New Roman"/>
          <w:i/>
          <w:iCs/>
        </w:rPr>
        <w:t>an</w:t>
      </w:r>
      <w:r w:rsidRPr="006165F0">
        <w:rPr>
          <w:rFonts w:ascii="Times New Roman" w:hAnsi="Times New Roman" w:cs="Times New Roman"/>
          <w:i/>
          <w:iCs/>
        </w:rPr>
        <w:t xml:space="preserve"> evidentiary theo</w:t>
      </w:r>
      <w:r>
        <w:rPr>
          <w:rFonts w:ascii="Times New Roman" w:hAnsi="Times New Roman" w:cs="Times New Roman"/>
          <w:i/>
          <w:iCs/>
        </w:rPr>
        <w:t xml:space="preserve">ry of substantive criminal law according to which sanctions </w:t>
      </w:r>
      <w:proofErr w:type="gramStart"/>
      <w:r>
        <w:rPr>
          <w:rFonts w:ascii="Times New Roman" w:hAnsi="Times New Roman" w:cs="Times New Roman"/>
          <w:i/>
          <w:iCs/>
        </w:rPr>
        <w:t>are distributed</w:t>
      </w:r>
      <w:proofErr w:type="gramEnd"/>
      <w:r>
        <w:rPr>
          <w:rFonts w:ascii="Times New Roman" w:hAnsi="Times New Roman" w:cs="Times New Roman"/>
          <w:i/>
          <w:iCs/>
        </w:rPr>
        <w:t xml:space="preserve"> in proportion to </w:t>
      </w:r>
      <w:r w:rsidRPr="006165F0">
        <w:rPr>
          <w:rFonts w:ascii="Times New Roman" w:hAnsi="Times New Roman" w:cs="Times New Roman"/>
          <w:i/>
          <w:iCs/>
        </w:rPr>
        <w:t>the strength of the evidence mounted against the defendant</w:t>
      </w:r>
      <w:r>
        <w:rPr>
          <w:rFonts w:ascii="Times New Roman" w:hAnsi="Times New Roman" w:cs="Times New Roman"/>
          <w:i/>
          <w:iCs/>
        </w:rPr>
        <w:t xml:space="preserve">. </w:t>
      </w:r>
      <w:r w:rsidRPr="006165F0">
        <w:rPr>
          <w:rFonts w:ascii="Times New Roman" w:hAnsi="Times New Roman" w:cs="Times New Roman"/>
          <w:i/>
          <w:iCs/>
        </w:rPr>
        <w:t xml:space="preserve">It highlights the potential advantages associated with grading penalties in proportion to the probability of wrongdoing and situates this claim within both consequentialist and deontological theories of punishment. </w:t>
      </w:r>
      <w:r>
        <w:rPr>
          <w:rFonts w:ascii="Times New Roman" w:hAnsi="Times New Roman" w:cs="Times New Roman"/>
          <w:i/>
          <w:iCs/>
        </w:rPr>
        <w:t>Building on this analysis, t</w:t>
      </w:r>
      <w:r w:rsidRPr="006165F0">
        <w:rPr>
          <w:rFonts w:ascii="Times New Roman" w:hAnsi="Times New Roman" w:cs="Times New Roman"/>
          <w:i/>
          <w:iCs/>
        </w:rPr>
        <w:t xml:space="preserve">he Article </w:t>
      </w:r>
      <w:r>
        <w:rPr>
          <w:rFonts w:ascii="Times New Roman" w:hAnsi="Times New Roman" w:cs="Times New Roman"/>
          <w:i/>
          <w:iCs/>
        </w:rPr>
        <w:t>reviews</w:t>
      </w:r>
      <w:r w:rsidRPr="006165F0">
        <w:rPr>
          <w:rFonts w:ascii="Times New Roman" w:hAnsi="Times New Roman" w:cs="Times New Roman"/>
          <w:i/>
          <w:iCs/>
        </w:rPr>
        <w:t xml:space="preserve"> the </w:t>
      </w:r>
      <w:r>
        <w:rPr>
          <w:rFonts w:ascii="Times New Roman" w:hAnsi="Times New Roman" w:cs="Times New Roman"/>
          <w:i/>
          <w:iCs/>
        </w:rPr>
        <w:t xml:space="preserve">doctrinal tools used to achieve the goal of evidentiary grading of sanctions and shows that key factors in criminal law </w:t>
      </w:r>
      <w:proofErr w:type="gramStart"/>
      <w:r w:rsidRPr="006165F0">
        <w:rPr>
          <w:rFonts w:ascii="Times New Roman" w:hAnsi="Times New Roman" w:cs="Times New Roman"/>
          <w:i/>
          <w:iCs/>
        </w:rPr>
        <w:t>are geared</w:t>
      </w:r>
      <w:proofErr w:type="gramEnd"/>
      <w:r w:rsidRPr="006165F0">
        <w:rPr>
          <w:rFonts w:ascii="Times New Roman" w:hAnsi="Times New Roman" w:cs="Times New Roman"/>
          <w:i/>
          <w:iCs/>
        </w:rPr>
        <w:t xml:space="preserve"> towards </w:t>
      </w:r>
      <w:r>
        <w:rPr>
          <w:rFonts w:ascii="Times New Roman" w:hAnsi="Times New Roman" w:cs="Times New Roman"/>
          <w:i/>
          <w:iCs/>
        </w:rPr>
        <w:t xml:space="preserve">dealing with </w:t>
      </w:r>
      <w:r w:rsidRPr="006165F0">
        <w:rPr>
          <w:rFonts w:ascii="Times New Roman" w:hAnsi="Times New Roman" w:cs="Times New Roman"/>
          <w:i/>
          <w:iCs/>
        </w:rPr>
        <w:t>evidentiary uncertainty.</w:t>
      </w:r>
      <w:r>
        <w:rPr>
          <w:rFonts w:ascii="Times New Roman" w:hAnsi="Times New Roman" w:cs="Times New Roman"/>
          <w:i/>
          <w:iCs/>
        </w:rPr>
        <w:t xml:space="preserve"> Finally, the Article explores the underlying logic of the evidentiary structure of criminal law and argues that this structure can be justified on psychological, economic, and expressive grounds.</w:t>
      </w:r>
    </w:p>
    <w:p w14:paraId="5BB7D3DA" w14:textId="77777777" w:rsidR="00DB23F8" w:rsidRPr="006165F0" w:rsidRDefault="00DB23F8" w:rsidP="006165F0">
      <w:pPr>
        <w:bidi w:val="0"/>
        <w:jc w:val="both"/>
        <w:rPr>
          <w:rFonts w:ascii="Times New Roman" w:hAnsi="Times New Roman" w:cs="Times New Roman"/>
          <w:i/>
          <w:iCs/>
        </w:rPr>
      </w:pPr>
      <w:r w:rsidRPr="006165F0">
        <w:rPr>
          <w:rFonts w:ascii="Times New Roman" w:hAnsi="Times New Roman" w:cs="Times New Roman"/>
          <w:i/>
          <w:iCs/>
        </w:rPr>
        <w:t xml:space="preserve"> </w:t>
      </w:r>
    </w:p>
    <w:p w14:paraId="364729CA" w14:textId="77777777" w:rsidR="00DB23F8" w:rsidRPr="00AB3D48" w:rsidRDefault="00DB23F8" w:rsidP="008C54F5">
      <w:pPr>
        <w:pStyle w:val="ListParagraph"/>
        <w:numPr>
          <w:ilvl w:val="0"/>
          <w:numId w:val="5"/>
        </w:numPr>
        <w:bidi w:val="0"/>
        <w:jc w:val="center"/>
        <w:rPr>
          <w:rFonts w:ascii="Times New Roman" w:hAnsi="Times New Roman" w:cs="Times New Roman"/>
          <w:b/>
          <w:bCs/>
          <w:smallCaps/>
          <w:sz w:val="24"/>
          <w:szCs w:val="24"/>
        </w:rPr>
      </w:pPr>
      <w:r w:rsidRPr="00AB3D48">
        <w:rPr>
          <w:rFonts w:ascii="Times New Roman" w:hAnsi="Times New Roman" w:cs="Times New Roman"/>
          <w:b/>
          <w:bCs/>
          <w:smallCaps/>
          <w:sz w:val="24"/>
          <w:szCs w:val="24"/>
        </w:rPr>
        <w:t>Introduction</w:t>
      </w:r>
    </w:p>
    <w:p w14:paraId="631AEAD2" w14:textId="77777777" w:rsidR="00DB23F8" w:rsidRPr="0014083A" w:rsidRDefault="00DB23F8" w:rsidP="00A00EA6">
      <w:pPr>
        <w:bidi w:val="0"/>
        <w:jc w:val="both"/>
        <w:rPr>
          <w:rFonts w:ascii="Times New Roman" w:hAnsi="Times New Roman" w:cs="Times New Roman"/>
        </w:rPr>
      </w:pPr>
      <w:r w:rsidRPr="0014083A">
        <w:rPr>
          <w:rFonts w:ascii="Times New Roman" w:hAnsi="Times New Roman" w:cs="Times New Roman"/>
        </w:rPr>
        <w:t xml:space="preserve">One of the greatest tenets of criminal law is that an individual </w:t>
      </w:r>
      <w:proofErr w:type="gramStart"/>
      <w:r w:rsidRPr="0014083A">
        <w:rPr>
          <w:rFonts w:ascii="Times New Roman" w:hAnsi="Times New Roman" w:cs="Times New Roman"/>
        </w:rPr>
        <w:t>should be held</w:t>
      </w:r>
      <w:proofErr w:type="gramEnd"/>
      <w:r w:rsidRPr="0014083A">
        <w:rPr>
          <w:rFonts w:ascii="Times New Roman" w:hAnsi="Times New Roman" w:cs="Times New Roman"/>
        </w:rPr>
        <w:t xml:space="preserve"> responsible if and only if his guilt </w:t>
      </w:r>
      <w:r>
        <w:rPr>
          <w:rFonts w:ascii="Times New Roman" w:hAnsi="Times New Roman" w:cs="Times New Roman"/>
        </w:rPr>
        <w:t>is</w:t>
      </w:r>
      <w:r w:rsidRPr="0014083A">
        <w:rPr>
          <w:rFonts w:ascii="Times New Roman" w:hAnsi="Times New Roman" w:cs="Times New Roman"/>
        </w:rPr>
        <w:t xml:space="preserve"> proven beyond a reasonable doubt. </w:t>
      </w:r>
      <w:proofErr w:type="gramStart"/>
      <w:r w:rsidRPr="0014083A">
        <w:rPr>
          <w:rFonts w:ascii="Times New Roman" w:hAnsi="Times New Roman" w:cs="Times New Roman"/>
        </w:rPr>
        <w:t>Whether this point is phrased in Blackstone’s formula</w:t>
      </w:r>
      <w:r>
        <w:rPr>
          <w:rFonts w:ascii="Times New Roman" w:hAnsi="Times New Roman" w:cs="Times New Roman"/>
        </w:rPr>
        <w:t>tion that it is</w:t>
      </w:r>
      <w:r w:rsidRPr="0014083A">
        <w:rPr>
          <w:rFonts w:ascii="Times New Roman" w:hAnsi="Times New Roman" w:cs="Times New Roman"/>
        </w:rPr>
        <w:t xml:space="preserve"> “better that ten guilty persons escape, than that one innocent suffer”</w:t>
      </w:r>
      <w:bookmarkStart w:id="0" w:name="_Ref431650512"/>
      <w:r w:rsidRPr="0014083A">
        <w:rPr>
          <w:rStyle w:val="FootnoteReference"/>
          <w:rFonts w:ascii="Times New Roman" w:hAnsi="Times New Roman"/>
          <w:sz w:val="20"/>
          <w:szCs w:val="20"/>
        </w:rPr>
        <w:footnoteReference w:id="2"/>
      </w:r>
      <w:bookmarkEnd w:id="0"/>
      <w:r w:rsidRPr="0014083A">
        <w:rPr>
          <w:rFonts w:ascii="Times New Roman" w:hAnsi="Times New Roman" w:cs="Times New Roman"/>
        </w:rPr>
        <w:t xml:space="preserve"> or Benjamin Franklin</w:t>
      </w:r>
      <w:r>
        <w:rPr>
          <w:rFonts w:ascii="Times New Roman" w:hAnsi="Times New Roman" w:cs="Times New Roman"/>
        </w:rPr>
        <w:t>’</w:t>
      </w:r>
      <w:r w:rsidRPr="0014083A">
        <w:rPr>
          <w:rFonts w:ascii="Times New Roman" w:hAnsi="Times New Roman" w:cs="Times New Roman"/>
        </w:rPr>
        <w:t xml:space="preserve">s more </w:t>
      </w:r>
      <w:r w:rsidRPr="00A83327">
        <w:rPr>
          <w:rFonts w:ascii="Times New Roman" w:hAnsi="Times New Roman" w:cs="Times New Roman"/>
        </w:rPr>
        <w:t xml:space="preserve">demanding </w:t>
      </w:r>
      <w:r w:rsidRPr="000A5F83">
        <w:rPr>
          <w:rFonts w:ascii="Times New Roman" w:hAnsi="Times New Roman" w:cs="Times New Roman"/>
        </w:rPr>
        <w:t xml:space="preserve">one that </w:t>
      </w:r>
      <w:r w:rsidRPr="0014083A">
        <w:rPr>
          <w:rFonts w:ascii="Times New Roman" w:hAnsi="Times New Roman" w:cs="Times New Roman"/>
        </w:rPr>
        <w:t>“it is better a hundred guilty persons should escape than one innocent person should suffer</w:t>
      </w:r>
      <w:r w:rsidRPr="0014083A">
        <w:rPr>
          <w:rFonts w:ascii="Times New Roman" w:hAnsi="Times New Roman" w:cs="Times New Roman"/>
          <w:sz w:val="20"/>
          <w:szCs w:val="20"/>
        </w:rPr>
        <w:t>”</w:t>
      </w:r>
      <w:r w:rsidRPr="0014083A">
        <w:rPr>
          <w:rStyle w:val="FootnoteReference"/>
          <w:rFonts w:ascii="Times New Roman" w:hAnsi="Times New Roman"/>
          <w:sz w:val="20"/>
          <w:szCs w:val="20"/>
        </w:rPr>
        <w:footnoteReference w:id="3"/>
      </w:r>
      <w:r w:rsidRPr="0014083A">
        <w:rPr>
          <w:rFonts w:ascii="Times New Roman" w:hAnsi="Times New Roman" w:cs="Times New Roman"/>
          <w:sz w:val="20"/>
          <w:szCs w:val="20"/>
        </w:rPr>
        <w:t xml:space="preserve"> </w:t>
      </w:r>
      <w:r w:rsidRPr="0014083A">
        <w:rPr>
          <w:rFonts w:ascii="Times New Roman" w:hAnsi="Times New Roman" w:cs="Times New Roman"/>
        </w:rPr>
        <w:t>or</w:t>
      </w:r>
      <w:r w:rsidRPr="0014083A">
        <w:rPr>
          <w:rFonts w:ascii="Times New Roman" w:hAnsi="Times New Roman" w:cs="Times New Roman"/>
          <w:sz w:val="20"/>
          <w:szCs w:val="20"/>
        </w:rPr>
        <w:t xml:space="preserve"> </w:t>
      </w:r>
      <w:r w:rsidRPr="0014083A">
        <w:rPr>
          <w:rFonts w:ascii="Times New Roman" w:hAnsi="Times New Roman" w:cs="Times New Roman"/>
        </w:rPr>
        <w:t xml:space="preserve">Maimonides’s even tougher standard </w:t>
      </w:r>
      <w:r>
        <w:rPr>
          <w:rFonts w:ascii="Times New Roman" w:hAnsi="Times New Roman" w:cs="Times New Roman"/>
        </w:rPr>
        <w:t>that</w:t>
      </w:r>
      <w:r w:rsidRPr="0014083A">
        <w:rPr>
          <w:rFonts w:ascii="Times New Roman" w:hAnsi="Times New Roman" w:cs="Times New Roman"/>
        </w:rPr>
        <w:t xml:space="preserve"> “it is better and more satisfactory to acquit a thousand guilty persons than to put a single innocent man to death once in a</w:t>
      </w:r>
      <w:r w:rsidRPr="0014083A">
        <w:rPr>
          <w:rFonts w:ascii="Times New Roman" w:hAnsi="Times New Roman" w:cs="Times New Roman"/>
          <w:sz w:val="12"/>
          <w:szCs w:val="12"/>
        </w:rPr>
        <w:t xml:space="preserve"> </w:t>
      </w:r>
      <w:r w:rsidRPr="0014083A">
        <w:rPr>
          <w:rFonts w:ascii="Times New Roman" w:hAnsi="Times New Roman" w:cs="Times New Roman"/>
        </w:rPr>
        <w:t>way</w:t>
      </w:r>
      <w:r w:rsidRPr="0014083A">
        <w:rPr>
          <w:rFonts w:ascii="Times New Roman" w:hAnsi="Times New Roman" w:cs="Times New Roman"/>
          <w:sz w:val="20"/>
          <w:szCs w:val="20"/>
        </w:rPr>
        <w:t>”</w:t>
      </w:r>
      <w:r>
        <w:rPr>
          <w:rFonts w:ascii="Times New Roman" w:hAnsi="Times New Roman" w:cs="Times New Roman"/>
          <w:sz w:val="20"/>
          <w:szCs w:val="20"/>
        </w:rPr>
        <w:t>,</w:t>
      </w:r>
      <w:r w:rsidRPr="0014083A">
        <w:rPr>
          <w:rStyle w:val="FootnoteReference"/>
          <w:rFonts w:ascii="Times New Roman" w:hAnsi="Times New Roman"/>
          <w:sz w:val="20"/>
          <w:szCs w:val="20"/>
        </w:rPr>
        <w:footnoteReference w:id="4"/>
      </w:r>
      <w:r w:rsidRPr="0014083A">
        <w:rPr>
          <w:rFonts w:ascii="Times New Roman" w:hAnsi="Times New Roman" w:cs="Times New Roman"/>
          <w:sz w:val="20"/>
          <w:szCs w:val="20"/>
        </w:rPr>
        <w:t xml:space="preserve"> </w:t>
      </w:r>
      <w:r w:rsidRPr="0014083A">
        <w:rPr>
          <w:rFonts w:ascii="Times New Roman" w:hAnsi="Times New Roman" w:cs="Times New Roman"/>
        </w:rPr>
        <w:t>the core idea is the same</w:t>
      </w:r>
      <w:r>
        <w:rPr>
          <w:rFonts w:ascii="Times New Roman" w:hAnsi="Times New Roman" w:cs="Times New Roman"/>
        </w:rPr>
        <w:t xml:space="preserve">, which is that </w:t>
      </w:r>
      <w:r w:rsidRPr="0014083A">
        <w:rPr>
          <w:rFonts w:ascii="Times New Roman" w:hAnsi="Times New Roman" w:cs="Times New Roman"/>
        </w:rPr>
        <w:t>the legal system should strive to minimize the conviction of innocent defendants by taking all feasible precautions against false convictions.</w:t>
      </w:r>
      <w:bookmarkStart w:id="1" w:name="_Ref432024888"/>
      <w:r w:rsidRPr="0014083A">
        <w:rPr>
          <w:rStyle w:val="FootnoteReference"/>
          <w:rFonts w:ascii="Times New Roman" w:hAnsi="Times New Roman"/>
          <w:sz w:val="20"/>
          <w:szCs w:val="20"/>
        </w:rPr>
        <w:footnoteReference w:id="5"/>
      </w:r>
      <w:bookmarkEnd w:id="1"/>
      <w:proofErr w:type="gramEnd"/>
      <w:r w:rsidRPr="0014083A">
        <w:rPr>
          <w:rFonts w:ascii="Times New Roman" w:hAnsi="Times New Roman" w:cs="Times New Roman"/>
          <w:sz w:val="20"/>
          <w:szCs w:val="20"/>
        </w:rPr>
        <w:t xml:space="preserve"> </w:t>
      </w:r>
    </w:p>
    <w:p w14:paraId="1AAF5C39" w14:textId="05CC953C" w:rsidR="00DB23F8" w:rsidRPr="0014083A" w:rsidRDefault="00DB23F8" w:rsidP="000A5F83">
      <w:pPr>
        <w:bidi w:val="0"/>
        <w:jc w:val="both"/>
        <w:rPr>
          <w:rFonts w:ascii="Times New Roman" w:hAnsi="Times New Roman" w:cs="Times New Roman"/>
        </w:rPr>
      </w:pPr>
      <w:r w:rsidRPr="0014083A">
        <w:rPr>
          <w:rFonts w:ascii="Times New Roman" w:hAnsi="Times New Roman" w:cs="Times New Roman"/>
        </w:rPr>
        <w:tab/>
        <w:t xml:space="preserve">This Article argues that the legal system routinely relaxes the burden of proof in criminal adjudication by adjusting the substantive content of criminal law. More specifically, it suggests that legal prohibitions </w:t>
      </w:r>
      <w:proofErr w:type="gramStart"/>
      <w:r w:rsidRPr="0014083A">
        <w:rPr>
          <w:rFonts w:ascii="Times New Roman" w:hAnsi="Times New Roman" w:cs="Times New Roman"/>
        </w:rPr>
        <w:t>are designed</w:t>
      </w:r>
      <w:proofErr w:type="gramEnd"/>
      <w:r w:rsidRPr="0014083A">
        <w:rPr>
          <w:rFonts w:ascii="Times New Roman" w:hAnsi="Times New Roman" w:cs="Times New Roman"/>
        </w:rPr>
        <w:t xml:space="preserve">, among other things, to create a correlation </w:t>
      </w:r>
      <w:r w:rsidRPr="0014083A">
        <w:rPr>
          <w:rFonts w:ascii="Times New Roman" w:hAnsi="Times New Roman" w:cs="Times New Roman"/>
        </w:rPr>
        <w:lastRenderedPageBreak/>
        <w:t xml:space="preserve">between the </w:t>
      </w:r>
      <w:r w:rsidR="000A5F83">
        <w:rPr>
          <w:rFonts w:ascii="Times New Roman" w:hAnsi="Times New Roman" w:cs="Times New Roman"/>
        </w:rPr>
        <w:t>severity</w:t>
      </w:r>
      <w:r w:rsidR="000A5F83" w:rsidRPr="0014083A">
        <w:rPr>
          <w:rFonts w:ascii="Times New Roman" w:hAnsi="Times New Roman" w:cs="Times New Roman"/>
        </w:rPr>
        <w:t xml:space="preserve"> </w:t>
      </w:r>
      <w:r w:rsidRPr="0014083A">
        <w:rPr>
          <w:rFonts w:ascii="Times New Roman" w:hAnsi="Times New Roman" w:cs="Times New Roman"/>
        </w:rPr>
        <w:t>of the sanction and the degree of certainty that the defendant deserves to be punished. According to this framework</w:t>
      </w:r>
      <w:r>
        <w:rPr>
          <w:rFonts w:ascii="Times New Roman" w:hAnsi="Times New Roman" w:cs="Times New Roman"/>
        </w:rPr>
        <w:t>,</w:t>
      </w:r>
      <w:r w:rsidRPr="0014083A">
        <w:rPr>
          <w:rFonts w:ascii="Times New Roman" w:hAnsi="Times New Roman" w:cs="Times New Roman"/>
        </w:rPr>
        <w:t xml:space="preserve"> defendants whose guilt </w:t>
      </w:r>
      <w:proofErr w:type="gramStart"/>
      <w:r w:rsidRPr="0014083A">
        <w:rPr>
          <w:rFonts w:ascii="Times New Roman" w:hAnsi="Times New Roman" w:cs="Times New Roman"/>
        </w:rPr>
        <w:t>is proven</w:t>
      </w:r>
      <w:proofErr w:type="gramEnd"/>
      <w:r w:rsidRPr="0014083A">
        <w:rPr>
          <w:rFonts w:ascii="Times New Roman" w:hAnsi="Times New Roman" w:cs="Times New Roman"/>
        </w:rPr>
        <w:t xml:space="preserve"> </w:t>
      </w:r>
      <w:r>
        <w:rPr>
          <w:rFonts w:ascii="Times New Roman" w:hAnsi="Times New Roman" w:cs="Times New Roman"/>
        </w:rPr>
        <w:t>to</w:t>
      </w:r>
      <w:r w:rsidRPr="0014083A">
        <w:rPr>
          <w:rFonts w:ascii="Times New Roman" w:hAnsi="Times New Roman" w:cs="Times New Roman"/>
        </w:rPr>
        <w:t xml:space="preserve"> a high level of certainty receive the full penalty they deserve, while defendants whose guilt is proven </w:t>
      </w:r>
      <w:r>
        <w:rPr>
          <w:rFonts w:ascii="Times New Roman" w:hAnsi="Times New Roman" w:cs="Times New Roman"/>
        </w:rPr>
        <w:t xml:space="preserve">to </w:t>
      </w:r>
      <w:r w:rsidRPr="0014083A">
        <w:rPr>
          <w:rFonts w:ascii="Times New Roman" w:hAnsi="Times New Roman" w:cs="Times New Roman"/>
        </w:rPr>
        <w:t>a lower degree of certainty are convicted</w:t>
      </w:r>
      <w:r>
        <w:rPr>
          <w:rFonts w:ascii="Times New Roman" w:hAnsi="Times New Roman" w:cs="Times New Roman"/>
        </w:rPr>
        <w:t xml:space="preserve"> of specially crafted </w:t>
      </w:r>
      <w:r w:rsidR="00296EC3">
        <w:rPr>
          <w:rFonts w:ascii="Times New Roman" w:hAnsi="Times New Roman" w:cs="Times New Roman"/>
        </w:rPr>
        <w:t>offense</w:t>
      </w:r>
      <w:r>
        <w:rPr>
          <w:rFonts w:ascii="Times New Roman" w:hAnsi="Times New Roman" w:cs="Times New Roman"/>
        </w:rPr>
        <w:t xml:space="preserve">s that de facto reduce the evidentiary threshold for a conviction. Given the elevated risk of error associated with these </w:t>
      </w:r>
      <w:r w:rsidR="00296EC3">
        <w:rPr>
          <w:rFonts w:ascii="Times New Roman" w:hAnsi="Times New Roman" w:cs="Times New Roman"/>
        </w:rPr>
        <w:t>offense</w:t>
      </w:r>
      <w:r>
        <w:rPr>
          <w:rFonts w:ascii="Times New Roman" w:hAnsi="Times New Roman" w:cs="Times New Roman"/>
        </w:rPr>
        <w:t xml:space="preserve">s, the punishments attached to them </w:t>
      </w:r>
      <w:proofErr w:type="gramStart"/>
      <w:r>
        <w:rPr>
          <w:rFonts w:ascii="Times New Roman" w:hAnsi="Times New Roman" w:cs="Times New Roman"/>
        </w:rPr>
        <w:t>are</w:t>
      </w:r>
      <w:r w:rsidRPr="0014083A">
        <w:rPr>
          <w:rFonts w:ascii="Times New Roman" w:hAnsi="Times New Roman" w:cs="Times New Roman"/>
        </w:rPr>
        <w:t xml:space="preserve"> discounted</w:t>
      </w:r>
      <w:proofErr w:type="gramEnd"/>
      <w:r w:rsidRPr="0014083A">
        <w:rPr>
          <w:rFonts w:ascii="Times New Roman" w:hAnsi="Times New Roman" w:cs="Times New Roman"/>
        </w:rPr>
        <w:t>.</w:t>
      </w:r>
      <w:r>
        <w:rPr>
          <w:rFonts w:ascii="Times New Roman" w:hAnsi="Times New Roman" w:cs="Times New Roman"/>
        </w:rPr>
        <w:t xml:space="preserve"> The overall picture is one in which penalties are distributed among defendants in proportion to the probability that they deserve to be punished, even when their guilt has not been proven beyond a reasonable doubt.</w:t>
      </w:r>
    </w:p>
    <w:p w14:paraId="5471B9B1" w14:textId="5DDF9FA9" w:rsidR="00DB23F8" w:rsidRDefault="00DB23F8" w:rsidP="0095491D">
      <w:pPr>
        <w:bidi w:val="0"/>
        <w:ind w:firstLine="720"/>
        <w:jc w:val="both"/>
        <w:rPr>
          <w:rFonts w:ascii="Times New Roman" w:hAnsi="Times New Roman" w:cs="Times New Roman"/>
        </w:rPr>
      </w:pPr>
      <w:r>
        <w:rPr>
          <w:rFonts w:ascii="Times New Roman" w:hAnsi="Times New Roman" w:cs="Times New Roman"/>
        </w:rPr>
        <w:t xml:space="preserve">The bulk of the arguments presented in the Article are positive in nature. They delineate significant doctrinal domains within criminal law that </w:t>
      </w:r>
      <w:proofErr w:type="gramStart"/>
      <w:r>
        <w:rPr>
          <w:rFonts w:ascii="Times New Roman" w:hAnsi="Times New Roman" w:cs="Times New Roman"/>
        </w:rPr>
        <w:t>are geared</w:t>
      </w:r>
      <w:proofErr w:type="gramEnd"/>
      <w:r>
        <w:rPr>
          <w:rFonts w:ascii="Times New Roman" w:hAnsi="Times New Roman" w:cs="Times New Roman"/>
        </w:rPr>
        <w:t xml:space="preserve"> towards dealing with defendants whose culpability has been proven to a high degree of certainty but not beyond a reasonable doubt. More specifically, it </w:t>
      </w:r>
      <w:proofErr w:type="gramStart"/>
      <w:r>
        <w:rPr>
          <w:rFonts w:ascii="Times New Roman" w:hAnsi="Times New Roman" w:cs="Times New Roman"/>
        </w:rPr>
        <w:t>will be shown</w:t>
      </w:r>
      <w:proofErr w:type="gramEnd"/>
      <w:r>
        <w:rPr>
          <w:rFonts w:ascii="Times New Roman" w:hAnsi="Times New Roman" w:cs="Times New Roman"/>
        </w:rPr>
        <w:t xml:space="preserve"> that doctrines relating to both the objective and subjective elements of the crime align punishments with the adjudicator’s confidence of wrongdoing. In this regard, the analytical framework presented sheds new light on core questions of criminal law. For example, </w:t>
      </w:r>
      <w:r w:rsidR="00E31E3C">
        <w:rPr>
          <w:rFonts w:ascii="Times New Roman" w:hAnsi="Times New Roman" w:cs="Times New Roman"/>
        </w:rPr>
        <w:t>legal</w:t>
      </w:r>
      <w:r>
        <w:rPr>
          <w:rFonts w:ascii="Times New Roman" w:hAnsi="Times New Roman" w:cs="Times New Roman"/>
        </w:rPr>
        <w:t xml:space="preserve"> analysis </w:t>
      </w:r>
      <w:r w:rsidR="00940DDE">
        <w:rPr>
          <w:rFonts w:ascii="Times New Roman" w:hAnsi="Times New Roman" w:cs="Times New Roman"/>
        </w:rPr>
        <w:t>of</w:t>
      </w:r>
      <w:r>
        <w:rPr>
          <w:rFonts w:ascii="Times New Roman" w:hAnsi="Times New Roman" w:cs="Times New Roman"/>
        </w:rPr>
        <w:t xml:space="preserve"> </w:t>
      </w:r>
      <w:r w:rsidR="00940DDE">
        <w:rPr>
          <w:rFonts w:ascii="Times New Roman" w:hAnsi="Times New Roman" w:cs="Times New Roman"/>
        </w:rPr>
        <w:t xml:space="preserve">inchoate crimes views liability in this realm as </w:t>
      </w:r>
      <w:r w:rsidR="00467A0A">
        <w:rPr>
          <w:rFonts w:ascii="Times New Roman" w:hAnsi="Times New Roman" w:cs="Times New Roman"/>
        </w:rPr>
        <w:t>an all-or-nothing endeavor</w:t>
      </w:r>
      <w:r w:rsidR="00940DDE">
        <w:rPr>
          <w:rFonts w:ascii="Times New Roman" w:hAnsi="Times New Roman" w:cs="Times New Roman"/>
        </w:rPr>
        <w:t>.</w:t>
      </w:r>
      <w:bookmarkStart w:id="2" w:name="_Ref433793783"/>
      <w:r w:rsidR="00915148">
        <w:rPr>
          <w:rStyle w:val="FootnoteReference"/>
          <w:rFonts w:ascii="Times New Roman" w:hAnsi="Times New Roman"/>
        </w:rPr>
        <w:footnoteReference w:id="6"/>
      </w:r>
      <w:bookmarkEnd w:id="2"/>
      <w:r w:rsidR="00940DDE">
        <w:rPr>
          <w:rFonts w:ascii="Times New Roman" w:hAnsi="Times New Roman" w:cs="Times New Roman"/>
        </w:rPr>
        <w:t xml:space="preserve"> According to </w:t>
      </w:r>
      <w:r w:rsidR="00E31E3C">
        <w:rPr>
          <w:rFonts w:ascii="Times New Roman" w:hAnsi="Times New Roman" w:cs="Times New Roman"/>
        </w:rPr>
        <w:t xml:space="preserve">this line of thought, criminal responsibility moves in only when the defendant’s conduct crosses the legal threshold that differentiates between preparatory acts </w:t>
      </w:r>
      <w:r w:rsidR="00467A0A">
        <w:rPr>
          <w:rFonts w:ascii="Times New Roman" w:hAnsi="Times New Roman" w:cs="Times New Roman"/>
        </w:rPr>
        <w:t xml:space="preserve">(which are not crimes) </w:t>
      </w:r>
      <w:r w:rsidR="00E31E3C">
        <w:rPr>
          <w:rFonts w:ascii="Times New Roman" w:hAnsi="Times New Roman" w:cs="Times New Roman"/>
        </w:rPr>
        <w:t>and attempts</w:t>
      </w:r>
      <w:r w:rsidR="00467A0A">
        <w:rPr>
          <w:rFonts w:ascii="Times New Roman" w:hAnsi="Times New Roman" w:cs="Times New Roman"/>
        </w:rPr>
        <w:t xml:space="preserve"> (which are crimes)</w:t>
      </w:r>
      <w:r w:rsidR="00E31E3C">
        <w:rPr>
          <w:rFonts w:ascii="Times New Roman" w:hAnsi="Times New Roman" w:cs="Times New Roman"/>
        </w:rPr>
        <w:t>.</w:t>
      </w:r>
      <w:r w:rsidR="0029480F">
        <w:rPr>
          <w:rStyle w:val="FootnoteReference"/>
          <w:rFonts w:ascii="Times New Roman" w:hAnsi="Times New Roman"/>
        </w:rPr>
        <w:footnoteReference w:id="7"/>
      </w:r>
      <w:r w:rsidR="00E31E3C">
        <w:rPr>
          <w:rFonts w:ascii="Times New Roman" w:hAnsi="Times New Roman" w:cs="Times New Roman"/>
        </w:rPr>
        <w:t xml:space="preserve"> T</w:t>
      </w:r>
      <w:r>
        <w:rPr>
          <w:rFonts w:ascii="Times New Roman" w:hAnsi="Times New Roman" w:cs="Times New Roman"/>
        </w:rPr>
        <w:t xml:space="preserve">he presented </w:t>
      </w:r>
      <w:r w:rsidR="00511791">
        <w:rPr>
          <w:rFonts w:ascii="Times New Roman" w:hAnsi="Times New Roman" w:cs="Times New Roman"/>
        </w:rPr>
        <w:t>theory</w:t>
      </w:r>
      <w:r>
        <w:rPr>
          <w:rFonts w:ascii="Times New Roman" w:hAnsi="Times New Roman" w:cs="Times New Roman"/>
        </w:rPr>
        <w:t xml:space="preserve"> suggests that </w:t>
      </w:r>
      <w:r w:rsidR="00E31E3C">
        <w:rPr>
          <w:rFonts w:ascii="Times New Roman" w:hAnsi="Times New Roman" w:cs="Times New Roman"/>
        </w:rPr>
        <w:t>criminal liability for inchoate crimes calibrate</w:t>
      </w:r>
      <w:r w:rsidR="00511791">
        <w:rPr>
          <w:rFonts w:ascii="Times New Roman" w:hAnsi="Times New Roman" w:cs="Times New Roman"/>
        </w:rPr>
        <w:t>s</w:t>
      </w:r>
      <w:r w:rsidR="00E31E3C">
        <w:rPr>
          <w:rFonts w:ascii="Times New Roman" w:hAnsi="Times New Roman" w:cs="Times New Roman"/>
        </w:rPr>
        <w:t xml:space="preserve"> </w:t>
      </w:r>
      <w:r w:rsidR="00511791">
        <w:rPr>
          <w:rFonts w:ascii="Times New Roman" w:hAnsi="Times New Roman" w:cs="Times New Roman"/>
        </w:rPr>
        <w:t>punishments</w:t>
      </w:r>
      <w:r w:rsidR="00E31E3C">
        <w:rPr>
          <w:rFonts w:ascii="Times New Roman" w:hAnsi="Times New Roman" w:cs="Times New Roman"/>
        </w:rPr>
        <w:t xml:space="preserve"> to the degree of proof presented at trial</w:t>
      </w:r>
      <w:r w:rsidR="00467A0A">
        <w:rPr>
          <w:rFonts w:ascii="Times New Roman" w:hAnsi="Times New Roman" w:cs="Times New Roman"/>
        </w:rPr>
        <w:t xml:space="preserve"> in a continuous and nuanced fashion</w:t>
      </w:r>
      <w:r w:rsidR="00E31E3C">
        <w:rPr>
          <w:rFonts w:ascii="Times New Roman" w:hAnsi="Times New Roman" w:cs="Times New Roman"/>
        </w:rPr>
        <w:t>.</w:t>
      </w:r>
      <w:r w:rsidR="00467A0A">
        <w:rPr>
          <w:rStyle w:val="FootnoteReference"/>
          <w:rFonts w:ascii="Times New Roman" w:hAnsi="Times New Roman"/>
        </w:rPr>
        <w:footnoteReference w:id="8"/>
      </w:r>
      <w:r w:rsidR="00E31E3C">
        <w:rPr>
          <w:rFonts w:ascii="Times New Roman" w:hAnsi="Times New Roman" w:cs="Times New Roman"/>
        </w:rPr>
        <w:t xml:space="preserve"> </w:t>
      </w:r>
      <w:r w:rsidR="00511791">
        <w:rPr>
          <w:rFonts w:ascii="Times New Roman" w:hAnsi="Times New Roman" w:cs="Times New Roman"/>
        </w:rPr>
        <w:t xml:space="preserve">Viewing the criminal framework in its entirety: the interaction between preparatory crimes, criminal attempts, and complete crimes, suggests that as more inculpating evidence </w:t>
      </w:r>
      <w:proofErr w:type="gramStart"/>
      <w:r w:rsidR="00511791">
        <w:rPr>
          <w:rFonts w:ascii="Times New Roman" w:hAnsi="Times New Roman" w:cs="Times New Roman"/>
        </w:rPr>
        <w:t>is mounted</w:t>
      </w:r>
      <w:proofErr w:type="gramEnd"/>
      <w:r w:rsidR="00511791">
        <w:rPr>
          <w:rFonts w:ascii="Times New Roman" w:hAnsi="Times New Roman" w:cs="Times New Roman"/>
        </w:rPr>
        <w:t xml:space="preserve"> against the defendant</w:t>
      </w:r>
      <w:r w:rsidR="0029480F">
        <w:rPr>
          <w:rFonts w:ascii="Times New Roman" w:hAnsi="Times New Roman" w:cs="Times New Roman"/>
        </w:rPr>
        <w:t>,</w:t>
      </w:r>
      <w:r w:rsidR="00511791">
        <w:rPr>
          <w:rFonts w:ascii="Times New Roman" w:hAnsi="Times New Roman" w:cs="Times New Roman"/>
        </w:rPr>
        <w:t xml:space="preserve"> additional crimes with stiffer penalties come into play.</w:t>
      </w:r>
      <w:r w:rsidR="00467A0A">
        <w:rPr>
          <w:rFonts w:ascii="Times New Roman" w:hAnsi="Times New Roman" w:cs="Times New Roman"/>
        </w:rPr>
        <w:t xml:space="preserve"> </w:t>
      </w:r>
      <w:r w:rsidR="00511791">
        <w:rPr>
          <w:rFonts w:ascii="Times New Roman" w:hAnsi="Times New Roman" w:cs="Times New Roman"/>
        </w:rPr>
        <w:t xml:space="preserve">   </w:t>
      </w:r>
    </w:p>
    <w:p w14:paraId="29EDA3FA" w14:textId="29AEFC40" w:rsidR="00DB23F8" w:rsidRPr="00361EB8" w:rsidRDefault="00DB23F8" w:rsidP="00915148">
      <w:pPr>
        <w:bidi w:val="0"/>
        <w:ind w:firstLine="720"/>
        <w:jc w:val="both"/>
        <w:rPr>
          <w:rFonts w:ascii="Times New Roman" w:hAnsi="Times New Roman" w:cs="Times New Roman"/>
        </w:rPr>
      </w:pPr>
      <w:r>
        <w:rPr>
          <w:rFonts w:ascii="Times New Roman" w:hAnsi="Times New Roman" w:cs="Times New Roman"/>
        </w:rPr>
        <w:t>More generally</w:t>
      </w:r>
      <w:r w:rsidRPr="00361EB8">
        <w:rPr>
          <w:rFonts w:ascii="Times New Roman" w:hAnsi="Times New Roman" w:cs="Times New Roman"/>
        </w:rPr>
        <w:t xml:space="preserve">, the Article challenges the perceived wisdom </w:t>
      </w:r>
      <w:r>
        <w:rPr>
          <w:rFonts w:ascii="Times New Roman" w:hAnsi="Times New Roman" w:cs="Times New Roman"/>
        </w:rPr>
        <w:t>that</w:t>
      </w:r>
      <w:r w:rsidRPr="00361EB8">
        <w:rPr>
          <w:rFonts w:ascii="Times New Roman" w:hAnsi="Times New Roman" w:cs="Times New Roman"/>
        </w:rPr>
        <w:t xml:space="preserve"> the evidentiary threshold </w:t>
      </w:r>
      <w:r>
        <w:rPr>
          <w:rFonts w:ascii="Times New Roman" w:hAnsi="Times New Roman" w:cs="Times New Roman"/>
        </w:rPr>
        <w:t>encapsulated</w:t>
      </w:r>
      <w:r w:rsidRPr="00361EB8">
        <w:rPr>
          <w:rFonts w:ascii="Times New Roman" w:hAnsi="Times New Roman" w:cs="Times New Roman"/>
        </w:rPr>
        <w:t xml:space="preserve"> by the burden of proof creates a dichotomous penal regime.</w:t>
      </w:r>
      <w:bookmarkStart w:id="3" w:name="_Ref431896586"/>
      <w:r>
        <w:rPr>
          <w:rStyle w:val="FootnoteReference"/>
          <w:rFonts w:ascii="Times New Roman" w:hAnsi="Times New Roman"/>
        </w:rPr>
        <w:footnoteReference w:id="9"/>
      </w:r>
      <w:bookmarkEnd w:id="3"/>
      <w:r w:rsidRPr="00361EB8">
        <w:rPr>
          <w:rFonts w:ascii="Times New Roman" w:hAnsi="Times New Roman" w:cs="Times New Roman"/>
        </w:rPr>
        <w:t xml:space="preserve"> In this regime, those whose guilt </w:t>
      </w:r>
      <w:proofErr w:type="gramStart"/>
      <w:r w:rsidRPr="00361EB8">
        <w:rPr>
          <w:rFonts w:ascii="Times New Roman" w:hAnsi="Times New Roman" w:cs="Times New Roman"/>
        </w:rPr>
        <w:t>is proven</w:t>
      </w:r>
      <w:proofErr w:type="gramEnd"/>
      <w:r w:rsidRPr="00361EB8">
        <w:rPr>
          <w:rFonts w:ascii="Times New Roman" w:hAnsi="Times New Roman" w:cs="Times New Roman"/>
        </w:rPr>
        <w:t xml:space="preserve"> beyond a reasonable doubt are subject to harsh criminal sanctions, whereas those whose guilt </w:t>
      </w:r>
      <w:r>
        <w:rPr>
          <w:rFonts w:ascii="Times New Roman" w:hAnsi="Times New Roman" w:cs="Times New Roman"/>
        </w:rPr>
        <w:t>is</w:t>
      </w:r>
      <w:r w:rsidRPr="00361EB8">
        <w:rPr>
          <w:rFonts w:ascii="Times New Roman" w:hAnsi="Times New Roman" w:cs="Times New Roman"/>
        </w:rPr>
        <w:t xml:space="preserve"> proven </w:t>
      </w:r>
      <w:r>
        <w:rPr>
          <w:rFonts w:ascii="Times New Roman" w:hAnsi="Times New Roman" w:cs="Times New Roman"/>
        </w:rPr>
        <w:t>to</w:t>
      </w:r>
      <w:r w:rsidRPr="00361EB8">
        <w:rPr>
          <w:rFonts w:ascii="Times New Roman" w:hAnsi="Times New Roman" w:cs="Times New Roman"/>
        </w:rPr>
        <w:t xml:space="preserve"> a somewhat lower degree get to go home scot-free. Prof</w:t>
      </w:r>
      <w:r>
        <w:rPr>
          <w:rFonts w:ascii="Times New Roman" w:hAnsi="Times New Roman" w:cs="Times New Roman"/>
        </w:rPr>
        <w:t>essor Talia Fisher, for example</w:t>
      </w:r>
      <w:r w:rsidRPr="00361EB8">
        <w:rPr>
          <w:rFonts w:ascii="Times New Roman" w:hAnsi="Times New Roman" w:cs="Times New Roman"/>
        </w:rPr>
        <w:t>, assumes that the “binary threshold model dictates that the manifold aspects of criminal culpability be ultimately translated into the legal lexicon’s strict, one-dimensional terms of conviction or acquittal.”</w:t>
      </w:r>
      <w:bookmarkStart w:id="4" w:name="_Ref432066838"/>
      <w:r w:rsidRPr="00361EB8">
        <w:rPr>
          <w:rStyle w:val="FootnoteReference"/>
          <w:rFonts w:ascii="Times New Roman" w:hAnsi="Times New Roman"/>
        </w:rPr>
        <w:footnoteReference w:id="10"/>
      </w:r>
      <w:bookmarkEnd w:id="4"/>
      <w:r w:rsidRPr="00361EB8">
        <w:rPr>
          <w:rFonts w:ascii="Times New Roman" w:hAnsi="Times New Roman" w:cs="Times New Roman"/>
        </w:rPr>
        <w:t xml:space="preserve"> This Article argues that this common assumption does not adequately depict the manner in which the criminal justice system </w:t>
      </w:r>
      <w:r w:rsidRPr="00361EB8">
        <w:rPr>
          <w:rFonts w:ascii="Times New Roman" w:hAnsi="Times New Roman" w:cs="Times New Roman"/>
        </w:rPr>
        <w:lastRenderedPageBreak/>
        <w:t xml:space="preserve">operates. An appreciation of the evidentiary role of substantive criminal law suggests a much more refined penal regime that </w:t>
      </w:r>
      <w:proofErr w:type="gramStart"/>
      <w:r w:rsidRPr="00361EB8">
        <w:rPr>
          <w:rFonts w:ascii="Times New Roman" w:hAnsi="Times New Roman" w:cs="Times New Roman"/>
        </w:rPr>
        <w:t>is attuned</w:t>
      </w:r>
      <w:proofErr w:type="gramEnd"/>
      <w:r w:rsidRPr="00361EB8">
        <w:rPr>
          <w:rFonts w:ascii="Times New Roman" w:hAnsi="Times New Roman" w:cs="Times New Roman"/>
        </w:rPr>
        <w:t xml:space="preserve"> to both questions of culpability and proof. </w:t>
      </w:r>
    </w:p>
    <w:p w14:paraId="1CB87E25" w14:textId="77777777" w:rsidR="00DB23F8" w:rsidRDefault="00DB23F8" w:rsidP="00490E1B">
      <w:pPr>
        <w:bidi w:val="0"/>
        <w:ind w:firstLine="720"/>
        <w:jc w:val="both"/>
        <w:rPr>
          <w:rFonts w:ascii="Times New Roman" w:hAnsi="Times New Roman" w:cs="Times New Roman"/>
        </w:rPr>
      </w:pPr>
      <w:r>
        <w:rPr>
          <w:rFonts w:ascii="Times New Roman" w:hAnsi="Times New Roman" w:cs="Times New Roman"/>
        </w:rPr>
        <w:t>Aside from its positive dimension, the Article will also examine the deeper question of why criminal law turned to substantive norms to relax the standard of proof rather than adjusting the standard itself. While this question has an apparent straightforward doctrinal answer that stems from the enshrined constitutional status of the beyond reasonable doubt standard,</w:t>
      </w:r>
      <w:r>
        <w:rPr>
          <w:rStyle w:val="FootnoteReference"/>
          <w:rFonts w:ascii="Times New Roman" w:hAnsi="Times New Roman"/>
        </w:rPr>
        <w:footnoteReference w:id="11"/>
      </w:r>
      <w:r>
        <w:rPr>
          <w:rFonts w:ascii="Times New Roman" w:hAnsi="Times New Roman" w:cs="Times New Roman"/>
        </w:rPr>
        <w:t xml:space="preserve"> a close examination reveals that existing practices </w:t>
      </w:r>
      <w:proofErr w:type="gramStart"/>
      <w:r>
        <w:rPr>
          <w:rFonts w:ascii="Times New Roman" w:hAnsi="Times New Roman" w:cs="Times New Roman"/>
        </w:rPr>
        <w:t>are also grounded</w:t>
      </w:r>
      <w:proofErr w:type="gramEnd"/>
      <w:r>
        <w:rPr>
          <w:rFonts w:ascii="Times New Roman" w:hAnsi="Times New Roman" w:cs="Times New Roman"/>
        </w:rPr>
        <w:t xml:space="preserve"> on principled considerations external to constitutional constraints. More specifically, it </w:t>
      </w:r>
      <w:proofErr w:type="gramStart"/>
      <w:r>
        <w:rPr>
          <w:rFonts w:ascii="Times New Roman" w:hAnsi="Times New Roman" w:cs="Times New Roman"/>
        </w:rPr>
        <w:t>will be shown</w:t>
      </w:r>
      <w:proofErr w:type="gramEnd"/>
      <w:r>
        <w:rPr>
          <w:rFonts w:ascii="Times New Roman" w:hAnsi="Times New Roman" w:cs="Times New Roman"/>
        </w:rPr>
        <w:t xml:space="preserve"> that there are considerable advantages to incorporating evidentiary uncertainty into the definition of crimes that reflect psychological, expressive, and consequential concerns.</w:t>
      </w:r>
    </w:p>
    <w:p w14:paraId="6CCC207D" w14:textId="6EBAC415" w:rsidR="00DB23F8" w:rsidRPr="0014083A" w:rsidRDefault="00DB23F8" w:rsidP="0095491D">
      <w:pPr>
        <w:bidi w:val="0"/>
        <w:ind w:firstLine="720"/>
        <w:jc w:val="both"/>
        <w:rPr>
          <w:rFonts w:ascii="Times New Roman" w:hAnsi="Times New Roman" w:cs="Times New Roman"/>
        </w:rPr>
      </w:pPr>
      <w:r>
        <w:rPr>
          <w:rFonts w:ascii="Times New Roman" w:hAnsi="Times New Roman" w:cs="Times New Roman"/>
        </w:rPr>
        <w:t>The thesis presented in t</w:t>
      </w:r>
      <w:r w:rsidRPr="0014083A">
        <w:rPr>
          <w:rFonts w:ascii="Times New Roman" w:hAnsi="Times New Roman" w:cs="Times New Roman"/>
        </w:rPr>
        <w:t>his Article is part of a growing body of work that aims to unite the analysis of substantive legal norms with the analysis of procedural and evidentiary norms.</w:t>
      </w:r>
      <w:bookmarkStart w:id="5" w:name="_Ref431901939"/>
      <w:r w:rsidRPr="0014083A">
        <w:rPr>
          <w:rStyle w:val="FootnoteReference"/>
          <w:rFonts w:ascii="Times New Roman" w:hAnsi="Times New Roman"/>
        </w:rPr>
        <w:footnoteReference w:id="12"/>
      </w:r>
      <w:bookmarkEnd w:id="5"/>
      <w:r w:rsidRPr="0014083A">
        <w:rPr>
          <w:rFonts w:ascii="Times New Roman" w:hAnsi="Times New Roman" w:cs="Times New Roman"/>
        </w:rPr>
        <w:t xml:space="preserve"> </w:t>
      </w:r>
      <w:r>
        <w:rPr>
          <w:rFonts w:ascii="Times New Roman" w:hAnsi="Times New Roman" w:cs="Times New Roman"/>
        </w:rPr>
        <w:t>In t</w:t>
      </w:r>
      <w:r w:rsidRPr="0014083A">
        <w:rPr>
          <w:rFonts w:ascii="Times New Roman" w:hAnsi="Times New Roman" w:cs="Times New Roman"/>
        </w:rPr>
        <w:t>raditional legal scholarship</w:t>
      </w:r>
      <w:r>
        <w:rPr>
          <w:rFonts w:ascii="Times New Roman" w:hAnsi="Times New Roman" w:cs="Times New Roman"/>
        </w:rPr>
        <w:t>, there is</w:t>
      </w:r>
      <w:r w:rsidRPr="0014083A">
        <w:rPr>
          <w:rFonts w:ascii="Times New Roman" w:hAnsi="Times New Roman" w:cs="Times New Roman"/>
        </w:rPr>
        <w:t xml:space="preserve"> a clear divide between substance and process.</w:t>
      </w:r>
      <w:r>
        <w:rPr>
          <w:rStyle w:val="FootnoteReference"/>
          <w:rFonts w:ascii="Times New Roman" w:hAnsi="Times New Roman"/>
        </w:rPr>
        <w:footnoteReference w:id="13"/>
      </w:r>
      <w:r w:rsidRPr="0014083A">
        <w:rPr>
          <w:rFonts w:ascii="Times New Roman" w:hAnsi="Times New Roman" w:cs="Times New Roman"/>
        </w:rPr>
        <w:t xml:space="preserve"> While the former </w:t>
      </w:r>
      <w:proofErr w:type="gramStart"/>
      <w:r w:rsidRPr="0014083A">
        <w:rPr>
          <w:rFonts w:ascii="Times New Roman" w:hAnsi="Times New Roman" w:cs="Times New Roman"/>
        </w:rPr>
        <w:t>is vested</w:t>
      </w:r>
      <w:proofErr w:type="gramEnd"/>
      <w:r w:rsidRPr="0014083A">
        <w:rPr>
          <w:rFonts w:ascii="Times New Roman" w:hAnsi="Times New Roman" w:cs="Times New Roman"/>
        </w:rPr>
        <w:t xml:space="preserve"> with the responsibility for setting out the primary rules that guide the public </w:t>
      </w:r>
      <w:r>
        <w:rPr>
          <w:rFonts w:ascii="Times New Roman" w:hAnsi="Times New Roman" w:cs="Times New Roman"/>
        </w:rPr>
        <w:t xml:space="preserve">regarding </w:t>
      </w:r>
      <w:r w:rsidRPr="0014083A">
        <w:rPr>
          <w:rFonts w:ascii="Times New Roman" w:hAnsi="Times New Roman" w:cs="Times New Roman"/>
        </w:rPr>
        <w:t xml:space="preserve">which types of behavior are permissible and which are not, the latter is charged with ascertaining the relevant facts of a particular case in a precise fashion. </w:t>
      </w:r>
      <w:r>
        <w:rPr>
          <w:rFonts w:ascii="Times New Roman" w:hAnsi="Times New Roman" w:cs="Times New Roman"/>
        </w:rPr>
        <w:t>According to this line of thought “procedure really is procedure, and substance really is substance, so that one can never truly be the functional equivalent of the other.”</w:t>
      </w:r>
      <w:r>
        <w:rPr>
          <w:rStyle w:val="FootnoteReference"/>
          <w:rFonts w:ascii="Times New Roman" w:hAnsi="Times New Roman"/>
        </w:rPr>
        <w:footnoteReference w:id="14"/>
      </w:r>
      <w:r>
        <w:rPr>
          <w:rFonts w:ascii="Times New Roman" w:hAnsi="Times New Roman" w:cs="Times New Roman"/>
        </w:rPr>
        <w:t xml:space="preserve"> However, </w:t>
      </w:r>
      <w:r w:rsidR="0095491D">
        <w:rPr>
          <w:rFonts w:ascii="Times New Roman" w:hAnsi="Times New Roman" w:cs="Times New Roman"/>
        </w:rPr>
        <w:t xml:space="preserve">as the legal literature has acknowledged long ago, </w:t>
      </w:r>
      <w:r w:rsidRPr="0014083A">
        <w:rPr>
          <w:rFonts w:ascii="Times New Roman" w:hAnsi="Times New Roman" w:cs="Times New Roman"/>
        </w:rPr>
        <w:t>this clean divide does not always hold.</w:t>
      </w:r>
      <w:bookmarkStart w:id="6" w:name="_Ref465759243"/>
      <w:r w:rsidR="009C2795">
        <w:rPr>
          <w:rStyle w:val="FootnoteReference"/>
          <w:rFonts w:ascii="Times New Roman" w:hAnsi="Times New Roman"/>
        </w:rPr>
        <w:footnoteReference w:id="15"/>
      </w:r>
      <w:bookmarkEnd w:id="6"/>
      <w:r w:rsidRPr="0014083A">
        <w:rPr>
          <w:rFonts w:ascii="Times New Roman" w:hAnsi="Times New Roman" w:cs="Times New Roman"/>
        </w:rPr>
        <w:t xml:space="preserve"> Procedural and evidentiary rules can play a role in the regulation of primary behavior, and substantive rules </w:t>
      </w:r>
      <w:proofErr w:type="gramStart"/>
      <w:r w:rsidRPr="0014083A">
        <w:rPr>
          <w:rFonts w:ascii="Times New Roman" w:hAnsi="Times New Roman" w:cs="Times New Roman"/>
        </w:rPr>
        <w:t>can be used</w:t>
      </w:r>
      <w:proofErr w:type="gramEnd"/>
      <w:r w:rsidRPr="0014083A">
        <w:rPr>
          <w:rFonts w:ascii="Times New Roman" w:hAnsi="Times New Roman" w:cs="Times New Roman"/>
        </w:rPr>
        <w:t xml:space="preserve"> to influence the fact-finding process.</w:t>
      </w:r>
      <w:r>
        <w:rPr>
          <w:rFonts w:ascii="Times New Roman" w:hAnsi="Times New Roman" w:cs="Times New Roman"/>
        </w:rPr>
        <w:t xml:space="preserve"> Consequently, their analysis </w:t>
      </w:r>
      <w:proofErr w:type="gramStart"/>
      <w:r>
        <w:rPr>
          <w:rFonts w:ascii="Times New Roman" w:hAnsi="Times New Roman" w:cs="Times New Roman"/>
        </w:rPr>
        <w:t>should be united</w:t>
      </w:r>
      <w:proofErr w:type="gramEnd"/>
      <w:r>
        <w:rPr>
          <w:rFonts w:ascii="Times New Roman" w:hAnsi="Times New Roman" w:cs="Times New Roman"/>
        </w:rPr>
        <w:t xml:space="preserve"> in</w:t>
      </w:r>
      <w:r w:rsidR="009C2795">
        <w:rPr>
          <w:rFonts w:ascii="Times New Roman" w:hAnsi="Times New Roman" w:cs="Times New Roman"/>
        </w:rPr>
        <w:t>to</w:t>
      </w:r>
      <w:r>
        <w:rPr>
          <w:rFonts w:ascii="Times New Roman" w:hAnsi="Times New Roman" w:cs="Times New Roman"/>
        </w:rPr>
        <w:t xml:space="preserve"> a single framework. This Article attempts to achieve this end in the context of the decision threshold applied in criminal cases and the structure of the substantive norms of criminal law.</w:t>
      </w:r>
      <w:r w:rsidRPr="0014083A">
        <w:rPr>
          <w:rFonts w:ascii="Times New Roman" w:hAnsi="Times New Roman" w:cs="Times New Roman"/>
        </w:rPr>
        <w:t xml:space="preserve"> </w:t>
      </w:r>
    </w:p>
    <w:p w14:paraId="6E074D73" w14:textId="5A535E5D" w:rsidR="00DB23F8" w:rsidRDefault="00DB23F8" w:rsidP="00E71005">
      <w:pPr>
        <w:bidi w:val="0"/>
        <w:ind w:firstLine="720"/>
        <w:jc w:val="both"/>
        <w:rPr>
          <w:rFonts w:ascii="Times New Roman" w:hAnsi="Times New Roman" w:cs="Times New Roman"/>
        </w:rPr>
      </w:pPr>
      <w:r w:rsidRPr="0014083A">
        <w:rPr>
          <w:rFonts w:ascii="Times New Roman" w:hAnsi="Times New Roman" w:cs="Times New Roman"/>
        </w:rPr>
        <w:t xml:space="preserve">The Article </w:t>
      </w:r>
      <w:r>
        <w:rPr>
          <w:rFonts w:ascii="Times New Roman" w:hAnsi="Times New Roman" w:cs="Times New Roman"/>
        </w:rPr>
        <w:t>proceeds</w:t>
      </w:r>
      <w:r w:rsidRPr="0014083A">
        <w:rPr>
          <w:rFonts w:ascii="Times New Roman" w:hAnsi="Times New Roman" w:cs="Times New Roman"/>
        </w:rPr>
        <w:t xml:space="preserve"> as follows</w:t>
      </w:r>
      <w:r>
        <w:rPr>
          <w:rFonts w:ascii="Times New Roman" w:hAnsi="Times New Roman" w:cs="Times New Roman"/>
        </w:rPr>
        <w:t xml:space="preserve">. </w:t>
      </w:r>
      <w:r w:rsidRPr="0014083A">
        <w:rPr>
          <w:rFonts w:ascii="Times New Roman" w:hAnsi="Times New Roman" w:cs="Times New Roman"/>
        </w:rPr>
        <w:t xml:space="preserve">Section II </w:t>
      </w:r>
      <w:r>
        <w:rPr>
          <w:rFonts w:ascii="Times New Roman" w:hAnsi="Times New Roman" w:cs="Times New Roman"/>
        </w:rPr>
        <w:t xml:space="preserve">consists of a literature </w:t>
      </w:r>
      <w:r w:rsidRPr="0014083A">
        <w:rPr>
          <w:rFonts w:ascii="Times New Roman" w:hAnsi="Times New Roman" w:cs="Times New Roman"/>
        </w:rPr>
        <w:t>review</w:t>
      </w:r>
      <w:r>
        <w:rPr>
          <w:rFonts w:ascii="Times New Roman" w:hAnsi="Times New Roman" w:cs="Times New Roman"/>
        </w:rPr>
        <w:t xml:space="preserve"> upon which</w:t>
      </w:r>
      <w:r w:rsidRPr="0014083A">
        <w:rPr>
          <w:rFonts w:ascii="Times New Roman" w:hAnsi="Times New Roman" w:cs="Times New Roman"/>
        </w:rPr>
        <w:t xml:space="preserve"> the </w:t>
      </w:r>
      <w:r w:rsidR="00455080">
        <w:rPr>
          <w:rFonts w:ascii="Times New Roman" w:hAnsi="Times New Roman" w:cs="Times New Roman"/>
        </w:rPr>
        <w:t>a</w:t>
      </w:r>
      <w:r w:rsidR="00455080" w:rsidRPr="0014083A">
        <w:rPr>
          <w:rFonts w:ascii="Times New Roman" w:hAnsi="Times New Roman" w:cs="Times New Roman"/>
        </w:rPr>
        <w:t xml:space="preserve">rticle </w:t>
      </w:r>
      <w:proofErr w:type="gramStart"/>
      <w:r>
        <w:rPr>
          <w:rFonts w:ascii="Times New Roman" w:hAnsi="Times New Roman" w:cs="Times New Roman"/>
        </w:rPr>
        <w:t xml:space="preserve">is </w:t>
      </w:r>
      <w:r w:rsidR="00847DA0" w:rsidRPr="0014083A">
        <w:rPr>
          <w:rFonts w:ascii="Times New Roman" w:hAnsi="Times New Roman" w:cs="Times New Roman"/>
        </w:rPr>
        <w:t>built</w:t>
      </w:r>
      <w:proofErr w:type="gramEnd"/>
      <w:r w:rsidRPr="0014083A">
        <w:rPr>
          <w:rFonts w:ascii="Times New Roman" w:hAnsi="Times New Roman" w:cs="Times New Roman"/>
        </w:rPr>
        <w:t xml:space="preserve">. As this review suggests, </w:t>
      </w:r>
      <w:r>
        <w:rPr>
          <w:rFonts w:ascii="Times New Roman" w:hAnsi="Times New Roman" w:cs="Times New Roman"/>
        </w:rPr>
        <w:t xml:space="preserve">existing theories of punishment focus on </w:t>
      </w:r>
      <w:r w:rsidR="009C2795">
        <w:rPr>
          <w:rFonts w:ascii="Times New Roman" w:hAnsi="Times New Roman" w:cs="Times New Roman"/>
        </w:rPr>
        <w:t xml:space="preserve">the primary goals of punishment (e.g., </w:t>
      </w:r>
      <w:r w:rsidR="00E71005">
        <w:rPr>
          <w:rFonts w:ascii="Times New Roman" w:hAnsi="Times New Roman" w:cs="Times New Roman"/>
        </w:rPr>
        <w:t xml:space="preserve">just </w:t>
      </w:r>
      <w:proofErr w:type="spellStart"/>
      <w:r w:rsidR="00E71005">
        <w:rPr>
          <w:rFonts w:ascii="Times New Roman" w:hAnsi="Times New Roman" w:cs="Times New Roman"/>
        </w:rPr>
        <w:t>deset</w:t>
      </w:r>
      <w:proofErr w:type="spellEnd"/>
      <w:r>
        <w:rPr>
          <w:rFonts w:ascii="Times New Roman" w:hAnsi="Times New Roman" w:cs="Times New Roman"/>
        </w:rPr>
        <w:t xml:space="preserve"> and deterrence</w:t>
      </w:r>
      <w:r w:rsidR="009C2795">
        <w:rPr>
          <w:rFonts w:ascii="Times New Roman" w:hAnsi="Times New Roman" w:cs="Times New Roman"/>
        </w:rPr>
        <w:t>)</w:t>
      </w:r>
      <w:r>
        <w:rPr>
          <w:rFonts w:ascii="Times New Roman" w:hAnsi="Times New Roman" w:cs="Times New Roman"/>
        </w:rPr>
        <w:t>, and neglect</w:t>
      </w:r>
      <w:r w:rsidRPr="0014083A">
        <w:rPr>
          <w:rFonts w:ascii="Times New Roman" w:hAnsi="Times New Roman" w:cs="Times New Roman"/>
        </w:rPr>
        <w:t xml:space="preserve"> to account for the </w:t>
      </w:r>
      <w:r w:rsidR="009C2795">
        <w:rPr>
          <w:rFonts w:ascii="Times New Roman" w:hAnsi="Times New Roman" w:cs="Times New Roman"/>
        </w:rPr>
        <w:t>strength of the evidence as a distributing principal of punishment</w:t>
      </w:r>
      <w:r w:rsidRPr="0014083A">
        <w:rPr>
          <w:rFonts w:ascii="Times New Roman" w:hAnsi="Times New Roman" w:cs="Times New Roman"/>
        </w:rPr>
        <w:t xml:space="preserve">. </w:t>
      </w:r>
      <w:r w:rsidR="009C2795">
        <w:rPr>
          <w:rFonts w:ascii="Times New Roman" w:hAnsi="Times New Roman" w:cs="Times New Roman"/>
        </w:rPr>
        <w:t xml:space="preserve">At the same time theories </w:t>
      </w:r>
      <w:r w:rsidR="00E71005">
        <w:rPr>
          <w:rFonts w:ascii="Times New Roman" w:hAnsi="Times New Roman" w:cs="Times New Roman"/>
        </w:rPr>
        <w:t>dealing with</w:t>
      </w:r>
      <w:r w:rsidR="009C2795">
        <w:rPr>
          <w:rFonts w:ascii="Times New Roman" w:hAnsi="Times New Roman" w:cs="Times New Roman"/>
        </w:rPr>
        <w:t xml:space="preserve"> error tradeoffs in the criminal justice system tend to focus exclusively on the rules of procedure and evidence as the </w:t>
      </w:r>
      <w:r w:rsidR="00E71005">
        <w:rPr>
          <w:rFonts w:ascii="Times New Roman" w:hAnsi="Times New Roman" w:cs="Times New Roman"/>
        </w:rPr>
        <w:t xml:space="preserve">sole </w:t>
      </w:r>
      <w:r w:rsidR="009C2795">
        <w:rPr>
          <w:rFonts w:ascii="Times New Roman" w:hAnsi="Times New Roman" w:cs="Times New Roman"/>
        </w:rPr>
        <w:t xml:space="preserve">policy tools that influence </w:t>
      </w:r>
      <w:r w:rsidR="00E71005">
        <w:rPr>
          <w:rFonts w:ascii="Times New Roman" w:hAnsi="Times New Roman" w:cs="Times New Roman"/>
        </w:rPr>
        <w:t>such</w:t>
      </w:r>
      <w:r w:rsidR="009C2795">
        <w:rPr>
          <w:rFonts w:ascii="Times New Roman" w:hAnsi="Times New Roman" w:cs="Times New Roman"/>
        </w:rPr>
        <w:t xml:space="preserve"> tradeoff</w:t>
      </w:r>
      <w:r w:rsidR="00E71005">
        <w:rPr>
          <w:rFonts w:ascii="Times New Roman" w:hAnsi="Times New Roman" w:cs="Times New Roman"/>
        </w:rPr>
        <w:t>s</w:t>
      </w:r>
      <w:r w:rsidR="009C2795">
        <w:rPr>
          <w:rFonts w:ascii="Times New Roman" w:hAnsi="Times New Roman" w:cs="Times New Roman"/>
        </w:rPr>
        <w:t xml:space="preserve">. </w:t>
      </w:r>
      <w:r w:rsidRPr="0014083A">
        <w:rPr>
          <w:rFonts w:ascii="Times New Roman" w:hAnsi="Times New Roman" w:cs="Times New Roman"/>
        </w:rPr>
        <w:t xml:space="preserve">Section III presents an </w:t>
      </w:r>
      <w:r w:rsidRPr="0014083A">
        <w:rPr>
          <w:rFonts w:ascii="Times New Roman" w:hAnsi="Times New Roman" w:cs="Times New Roman"/>
        </w:rPr>
        <w:lastRenderedPageBreak/>
        <w:t xml:space="preserve">evidentiary theory of punishment according to which sanctions </w:t>
      </w:r>
      <w:proofErr w:type="gramStart"/>
      <w:r w:rsidRPr="0014083A">
        <w:rPr>
          <w:rFonts w:ascii="Times New Roman" w:hAnsi="Times New Roman" w:cs="Times New Roman"/>
        </w:rPr>
        <w:t>are calibrated</w:t>
      </w:r>
      <w:proofErr w:type="gramEnd"/>
      <w:r w:rsidRPr="0014083A">
        <w:rPr>
          <w:rFonts w:ascii="Times New Roman" w:hAnsi="Times New Roman" w:cs="Times New Roman"/>
        </w:rPr>
        <w:t xml:space="preserve"> to the degree of certainty that wrongdoing has occurred.</w:t>
      </w:r>
      <w:r>
        <w:rPr>
          <w:rFonts w:ascii="Times New Roman" w:hAnsi="Times New Roman" w:cs="Times New Roman"/>
        </w:rPr>
        <w:t xml:space="preserve"> </w:t>
      </w:r>
      <w:r w:rsidRPr="0014083A">
        <w:rPr>
          <w:rFonts w:ascii="Times New Roman" w:hAnsi="Times New Roman" w:cs="Times New Roman"/>
        </w:rPr>
        <w:t>Section IV survey</w:t>
      </w:r>
      <w:r>
        <w:rPr>
          <w:rFonts w:ascii="Times New Roman" w:hAnsi="Times New Roman" w:cs="Times New Roman"/>
        </w:rPr>
        <w:t>s</w:t>
      </w:r>
      <w:r w:rsidRPr="0014083A">
        <w:rPr>
          <w:rFonts w:ascii="Times New Roman" w:hAnsi="Times New Roman" w:cs="Times New Roman"/>
        </w:rPr>
        <w:t xml:space="preserve"> numerous concrete examples that demonstrate the operation of the theory</w:t>
      </w:r>
      <w:r>
        <w:rPr>
          <w:rFonts w:ascii="Times New Roman" w:hAnsi="Times New Roman" w:cs="Times New Roman"/>
        </w:rPr>
        <w:t xml:space="preserve"> in practice</w:t>
      </w:r>
      <w:r w:rsidR="00E71005">
        <w:rPr>
          <w:rFonts w:ascii="Times New Roman" w:hAnsi="Times New Roman" w:cs="Times New Roman"/>
        </w:rPr>
        <w:t xml:space="preserve">, and establishes </w:t>
      </w:r>
      <w:r>
        <w:rPr>
          <w:rFonts w:ascii="Times New Roman" w:hAnsi="Times New Roman" w:cs="Times New Roman"/>
        </w:rPr>
        <w:t xml:space="preserve">that significant parts of the criminal law </w:t>
      </w:r>
      <w:proofErr w:type="gramStart"/>
      <w:r>
        <w:rPr>
          <w:rFonts w:ascii="Times New Roman" w:hAnsi="Times New Roman" w:cs="Times New Roman"/>
        </w:rPr>
        <w:t>can be viewed</w:t>
      </w:r>
      <w:proofErr w:type="gramEnd"/>
      <w:r>
        <w:rPr>
          <w:rFonts w:ascii="Times New Roman" w:hAnsi="Times New Roman" w:cs="Times New Roman"/>
        </w:rPr>
        <w:t xml:space="preserve"> as tools to distribute sanctions in proportion to the probability of wrongdoing. Section V </w:t>
      </w:r>
      <w:r w:rsidRPr="0014083A">
        <w:rPr>
          <w:rFonts w:ascii="Times New Roman" w:hAnsi="Times New Roman" w:cs="Times New Roman"/>
        </w:rPr>
        <w:t>discuss</w:t>
      </w:r>
      <w:r>
        <w:rPr>
          <w:rFonts w:ascii="Times New Roman" w:hAnsi="Times New Roman" w:cs="Times New Roman"/>
        </w:rPr>
        <w:t>es</w:t>
      </w:r>
      <w:r w:rsidRPr="0014083A">
        <w:rPr>
          <w:rFonts w:ascii="Times New Roman" w:hAnsi="Times New Roman" w:cs="Times New Roman"/>
        </w:rPr>
        <w:t xml:space="preserve"> why the law evolved the way it did, rather than taking a more straightforward approach that would explicitly acknowledge that sanctions </w:t>
      </w:r>
      <w:proofErr w:type="gramStart"/>
      <w:r w:rsidRPr="0014083A">
        <w:rPr>
          <w:rFonts w:ascii="Times New Roman" w:hAnsi="Times New Roman" w:cs="Times New Roman"/>
        </w:rPr>
        <w:t>are calibrated</w:t>
      </w:r>
      <w:proofErr w:type="gramEnd"/>
      <w:r w:rsidRPr="0014083A">
        <w:rPr>
          <w:rFonts w:ascii="Times New Roman" w:hAnsi="Times New Roman" w:cs="Times New Roman"/>
        </w:rPr>
        <w:t xml:space="preserve"> to the quality of evidence presented. This discussion will shed new light on core issues of criminal law</w:t>
      </w:r>
      <w:r>
        <w:rPr>
          <w:rFonts w:ascii="Times New Roman" w:hAnsi="Times New Roman" w:cs="Times New Roman"/>
        </w:rPr>
        <w:t>,</w:t>
      </w:r>
      <w:r w:rsidRPr="0014083A">
        <w:rPr>
          <w:rFonts w:ascii="Times New Roman" w:hAnsi="Times New Roman" w:cs="Times New Roman"/>
        </w:rPr>
        <w:t xml:space="preserve"> such as the role </w:t>
      </w:r>
      <w:r>
        <w:rPr>
          <w:rFonts w:ascii="Times New Roman" w:hAnsi="Times New Roman" w:cs="Times New Roman"/>
        </w:rPr>
        <w:t xml:space="preserve">of </w:t>
      </w:r>
      <w:r w:rsidRPr="0014083A">
        <w:rPr>
          <w:rFonts w:ascii="Times New Roman" w:hAnsi="Times New Roman" w:cs="Times New Roman"/>
        </w:rPr>
        <w:t>deontological constraints on setting penal policies and the importance of the expressive function of criminal law. Finally, Section V</w:t>
      </w:r>
      <w:r>
        <w:rPr>
          <w:rFonts w:ascii="Times New Roman" w:hAnsi="Times New Roman" w:cs="Times New Roman"/>
        </w:rPr>
        <w:t>I</w:t>
      </w:r>
      <w:r w:rsidRPr="0014083A">
        <w:rPr>
          <w:rFonts w:ascii="Times New Roman" w:hAnsi="Times New Roman" w:cs="Times New Roman"/>
        </w:rPr>
        <w:t xml:space="preserve"> </w:t>
      </w:r>
      <w:r>
        <w:rPr>
          <w:rFonts w:ascii="Times New Roman" w:hAnsi="Times New Roman" w:cs="Times New Roman"/>
        </w:rPr>
        <w:t xml:space="preserve">consists of </w:t>
      </w:r>
      <w:r w:rsidRPr="0014083A">
        <w:rPr>
          <w:rFonts w:ascii="Times New Roman" w:hAnsi="Times New Roman" w:cs="Times New Roman"/>
        </w:rPr>
        <w:t xml:space="preserve">some concluding remarks and highlights potential paths for future research. </w:t>
      </w:r>
    </w:p>
    <w:p w14:paraId="2933204D" w14:textId="77777777" w:rsidR="00DB23F8" w:rsidRPr="0014083A" w:rsidRDefault="00DB23F8" w:rsidP="00AB3D48">
      <w:pPr>
        <w:bidi w:val="0"/>
        <w:ind w:firstLine="720"/>
        <w:jc w:val="both"/>
        <w:rPr>
          <w:rFonts w:ascii="Times New Roman" w:hAnsi="Times New Roman" w:cs="Times New Roman"/>
        </w:rPr>
      </w:pPr>
    </w:p>
    <w:p w14:paraId="296AF6A0" w14:textId="32FF0810" w:rsidR="00DB23F8" w:rsidRPr="0014083A" w:rsidRDefault="00DB23F8" w:rsidP="00880FA7">
      <w:pPr>
        <w:pStyle w:val="ListParagraph"/>
        <w:numPr>
          <w:ilvl w:val="0"/>
          <w:numId w:val="5"/>
        </w:numPr>
        <w:bidi w:val="0"/>
        <w:jc w:val="center"/>
        <w:rPr>
          <w:rFonts w:ascii="Times New Roman" w:hAnsi="Times New Roman" w:cs="Times New Roman"/>
          <w:b/>
          <w:bCs/>
          <w:smallCaps/>
          <w:sz w:val="24"/>
          <w:szCs w:val="24"/>
        </w:rPr>
      </w:pPr>
      <w:r w:rsidRPr="0014083A">
        <w:rPr>
          <w:rFonts w:ascii="Times New Roman" w:hAnsi="Times New Roman" w:cs="Times New Roman"/>
          <w:b/>
          <w:bCs/>
          <w:smallCaps/>
          <w:sz w:val="24"/>
          <w:szCs w:val="24"/>
        </w:rPr>
        <w:t>Background: Theories of Punishment</w:t>
      </w:r>
      <w:r w:rsidR="00D90411">
        <w:rPr>
          <w:rFonts w:ascii="Times New Roman" w:hAnsi="Times New Roman" w:cs="Times New Roman"/>
          <w:b/>
          <w:bCs/>
          <w:smallCaps/>
          <w:sz w:val="24"/>
          <w:szCs w:val="24"/>
        </w:rPr>
        <w:t xml:space="preserve"> and Error Tradeoffs</w:t>
      </w:r>
    </w:p>
    <w:p w14:paraId="7CE52088" w14:textId="3133B148" w:rsidR="00D90411" w:rsidRDefault="00D90411" w:rsidP="000C327B">
      <w:pPr>
        <w:bidi w:val="0"/>
        <w:ind w:firstLine="720"/>
        <w:jc w:val="both"/>
        <w:rPr>
          <w:rFonts w:ascii="Times New Roman" w:hAnsi="Times New Roman" w:cs="Times New Roman"/>
        </w:rPr>
      </w:pPr>
      <w:r>
        <w:rPr>
          <w:rFonts w:ascii="Times New Roman" w:hAnsi="Times New Roman" w:cs="Times New Roman"/>
        </w:rPr>
        <w:t xml:space="preserve">This Section briefly reviews the literature on which this paper </w:t>
      </w:r>
      <w:r w:rsidR="0018252E">
        <w:rPr>
          <w:rFonts w:ascii="Times New Roman" w:hAnsi="Times New Roman" w:cs="Times New Roman"/>
        </w:rPr>
        <w:t xml:space="preserve">builds on. It opens with an overview of the literature </w:t>
      </w:r>
      <w:r w:rsidR="000C327B">
        <w:rPr>
          <w:rFonts w:ascii="Times New Roman" w:hAnsi="Times New Roman" w:cs="Times New Roman"/>
        </w:rPr>
        <w:t>on the theories</w:t>
      </w:r>
      <w:r w:rsidR="0018252E">
        <w:rPr>
          <w:rFonts w:ascii="Times New Roman" w:hAnsi="Times New Roman" w:cs="Times New Roman"/>
        </w:rPr>
        <w:t xml:space="preserve"> of punishment, and shows that this literature has focused on the primary </w:t>
      </w:r>
      <w:r w:rsidR="000C327B">
        <w:rPr>
          <w:rFonts w:ascii="Times New Roman" w:hAnsi="Times New Roman" w:cs="Times New Roman"/>
        </w:rPr>
        <w:t>justifications</w:t>
      </w:r>
      <w:r w:rsidR="0018252E">
        <w:rPr>
          <w:rFonts w:ascii="Times New Roman" w:hAnsi="Times New Roman" w:cs="Times New Roman"/>
        </w:rPr>
        <w:t xml:space="preserve"> of punishment—just </w:t>
      </w:r>
      <w:r w:rsidR="00CE1946">
        <w:rPr>
          <w:rFonts w:ascii="Times New Roman" w:hAnsi="Times New Roman" w:cs="Times New Roman"/>
        </w:rPr>
        <w:t>desert</w:t>
      </w:r>
      <w:r w:rsidR="0018252E">
        <w:rPr>
          <w:rFonts w:ascii="Times New Roman" w:hAnsi="Times New Roman" w:cs="Times New Roman"/>
        </w:rPr>
        <w:t>, deterrence, rehabilitation, etc.</w:t>
      </w:r>
      <w:r w:rsidR="000C327B">
        <w:rPr>
          <w:rFonts w:ascii="Times New Roman" w:hAnsi="Times New Roman" w:cs="Times New Roman"/>
        </w:rPr>
        <w:t>, when determining what the level of punishment should be.</w:t>
      </w:r>
      <w:r w:rsidR="0018252E">
        <w:rPr>
          <w:rFonts w:ascii="Times New Roman" w:hAnsi="Times New Roman" w:cs="Times New Roman"/>
        </w:rPr>
        <w:t xml:space="preserve"> </w:t>
      </w:r>
      <w:r w:rsidR="000C327B">
        <w:rPr>
          <w:rFonts w:ascii="Times New Roman" w:hAnsi="Times New Roman" w:cs="Times New Roman"/>
        </w:rPr>
        <w:t>I</w:t>
      </w:r>
      <w:r w:rsidR="00CE1946">
        <w:rPr>
          <w:rFonts w:ascii="Times New Roman" w:hAnsi="Times New Roman" w:cs="Times New Roman"/>
        </w:rPr>
        <w:t xml:space="preserve">t then turns to examine the literature on error tradeoffs in criminal trials, and demonstrates that this body of work has focused on the burden of proof as the tool in which errors can be traded off. </w:t>
      </w:r>
      <w:r>
        <w:rPr>
          <w:rFonts w:ascii="Times New Roman" w:hAnsi="Times New Roman" w:cs="Times New Roman"/>
        </w:rPr>
        <w:t xml:space="preserve"> </w:t>
      </w:r>
    </w:p>
    <w:p w14:paraId="7D1DEF9F" w14:textId="6A8B7165" w:rsidR="00D90411" w:rsidRPr="00D90411" w:rsidRDefault="00D90411" w:rsidP="00D90411">
      <w:pPr>
        <w:pStyle w:val="ListParagraph"/>
        <w:numPr>
          <w:ilvl w:val="0"/>
          <w:numId w:val="16"/>
        </w:numPr>
        <w:bidi w:val="0"/>
        <w:jc w:val="both"/>
        <w:rPr>
          <w:rFonts w:ascii="Times New Roman" w:hAnsi="Times New Roman" w:cs="Times New Roman"/>
          <w:i/>
          <w:iCs/>
        </w:rPr>
      </w:pPr>
      <w:r w:rsidRPr="00D90411">
        <w:rPr>
          <w:rFonts w:ascii="Times New Roman" w:hAnsi="Times New Roman" w:cs="Times New Roman"/>
          <w:i/>
          <w:iCs/>
        </w:rPr>
        <w:t>Theories of Punishment</w:t>
      </w:r>
    </w:p>
    <w:p w14:paraId="07842B00" w14:textId="77777777" w:rsidR="00DB23F8" w:rsidRPr="0014083A" w:rsidRDefault="00DB23F8" w:rsidP="00D90411">
      <w:pPr>
        <w:bidi w:val="0"/>
        <w:ind w:firstLine="720"/>
        <w:jc w:val="both"/>
        <w:rPr>
          <w:rFonts w:ascii="Times New Roman" w:hAnsi="Times New Roman" w:cs="Times New Roman"/>
        </w:rPr>
      </w:pPr>
      <w:r w:rsidRPr="0014083A">
        <w:rPr>
          <w:rFonts w:ascii="Times New Roman" w:hAnsi="Times New Roman" w:cs="Times New Roman"/>
        </w:rPr>
        <w:t>As the introductory part of any criminal law course will probably demonstrate, the two core theoretical questions that jurists dealing with punishment address are: (1) what justifies the practice of punishing criminals (i.e., why do we punish?), and (2) given a justification, how should sanctions be distributed among offenders (i.e., how much should we punish?).</w:t>
      </w:r>
      <w:r>
        <w:rPr>
          <w:rStyle w:val="FootnoteReference"/>
          <w:rFonts w:ascii="Times New Roman" w:hAnsi="Times New Roman"/>
        </w:rPr>
        <w:footnoteReference w:id="16"/>
      </w:r>
      <w:r w:rsidRPr="0014083A">
        <w:rPr>
          <w:rFonts w:ascii="Times New Roman" w:hAnsi="Times New Roman" w:cs="Times New Roman"/>
        </w:rPr>
        <w:t xml:space="preserve"> Interestingly, legal scholars routinely assume that the answer</w:t>
      </w:r>
      <w:r>
        <w:rPr>
          <w:rFonts w:ascii="Times New Roman" w:hAnsi="Times New Roman" w:cs="Times New Roman"/>
        </w:rPr>
        <w:t>s</w:t>
      </w:r>
      <w:r w:rsidRPr="0014083A">
        <w:rPr>
          <w:rFonts w:ascii="Times New Roman" w:hAnsi="Times New Roman" w:cs="Times New Roman"/>
        </w:rPr>
        <w:t xml:space="preserve"> to the</w:t>
      </w:r>
      <w:r>
        <w:rPr>
          <w:rFonts w:ascii="Times New Roman" w:hAnsi="Times New Roman" w:cs="Times New Roman"/>
        </w:rPr>
        <w:t>se</w:t>
      </w:r>
      <w:r w:rsidRPr="0014083A">
        <w:rPr>
          <w:rFonts w:ascii="Times New Roman" w:hAnsi="Times New Roman" w:cs="Times New Roman"/>
        </w:rPr>
        <w:t xml:space="preserve"> two questions </w:t>
      </w:r>
      <w:proofErr w:type="gramStart"/>
      <w:r>
        <w:rPr>
          <w:rFonts w:ascii="Times New Roman" w:hAnsi="Times New Roman" w:cs="Times New Roman"/>
        </w:rPr>
        <w:t>are</w:t>
      </w:r>
      <w:r w:rsidRPr="0014083A">
        <w:rPr>
          <w:rFonts w:ascii="Times New Roman" w:hAnsi="Times New Roman" w:cs="Times New Roman"/>
        </w:rPr>
        <w:t xml:space="preserve"> connected</w:t>
      </w:r>
      <w:proofErr w:type="gramEnd"/>
      <w:r>
        <w:rPr>
          <w:rFonts w:ascii="Times New Roman" w:hAnsi="Times New Roman" w:cs="Times New Roman"/>
        </w:rPr>
        <w:t>,</w:t>
      </w:r>
      <w:bookmarkStart w:id="7" w:name="_Ref438721996"/>
      <w:r w:rsidRPr="0014083A">
        <w:rPr>
          <w:rStyle w:val="FootnoteReference"/>
          <w:rFonts w:ascii="Times New Roman" w:hAnsi="Times New Roman"/>
        </w:rPr>
        <w:footnoteReference w:id="17"/>
      </w:r>
      <w:bookmarkEnd w:id="7"/>
      <w:r w:rsidRPr="0014083A">
        <w:rPr>
          <w:rFonts w:ascii="Times New Roman" w:hAnsi="Times New Roman" w:cs="Times New Roman"/>
        </w:rPr>
        <w:t xml:space="preserve"> </w:t>
      </w:r>
      <w:r>
        <w:rPr>
          <w:rFonts w:ascii="Times New Roman" w:hAnsi="Times New Roman" w:cs="Times New Roman"/>
        </w:rPr>
        <w:t>t</w:t>
      </w:r>
      <w:r w:rsidRPr="0014083A">
        <w:rPr>
          <w:rFonts w:ascii="Times New Roman" w:hAnsi="Times New Roman" w:cs="Times New Roman"/>
        </w:rPr>
        <w:t xml:space="preserve">hat is, that the distribution of sanctions between offenders should be </w:t>
      </w:r>
      <w:r w:rsidR="00455080">
        <w:rPr>
          <w:rFonts w:ascii="Times New Roman" w:hAnsi="Times New Roman" w:cs="Times New Roman"/>
        </w:rPr>
        <w:t>based on</w:t>
      </w:r>
      <w:r w:rsidRPr="0014083A">
        <w:rPr>
          <w:rFonts w:ascii="Times New Roman" w:hAnsi="Times New Roman" w:cs="Times New Roman"/>
        </w:rPr>
        <w:t xml:space="preserve"> the theory that justifies the application of those sanctions in the first place. This justification</w:t>
      </w:r>
      <w:r>
        <w:rPr>
          <w:rFonts w:ascii="Times New Roman" w:hAnsi="Times New Roman" w:cs="Times New Roman"/>
        </w:rPr>
        <w:t>–</w:t>
      </w:r>
      <w:r w:rsidRPr="0014083A">
        <w:rPr>
          <w:rFonts w:ascii="Times New Roman" w:hAnsi="Times New Roman" w:cs="Times New Roman"/>
        </w:rPr>
        <w:t xml:space="preserve">distribution framework has led to a rather stable equilibrium within criminal law scholarship </w:t>
      </w:r>
      <w:r>
        <w:rPr>
          <w:rFonts w:ascii="Times New Roman" w:hAnsi="Times New Roman" w:cs="Times New Roman"/>
        </w:rPr>
        <w:t xml:space="preserve">that </w:t>
      </w:r>
      <w:r w:rsidRPr="0014083A">
        <w:rPr>
          <w:rFonts w:ascii="Times New Roman" w:hAnsi="Times New Roman" w:cs="Times New Roman"/>
        </w:rPr>
        <w:t>focuses on a more-or-less fixed list of potential governing principles.</w:t>
      </w:r>
      <w:r w:rsidRPr="0014083A">
        <w:rPr>
          <w:rStyle w:val="FootnoteReference"/>
          <w:rFonts w:ascii="Times New Roman" w:hAnsi="Times New Roman"/>
        </w:rPr>
        <w:footnoteReference w:id="18"/>
      </w:r>
    </w:p>
    <w:p w14:paraId="74724E6D" w14:textId="77777777" w:rsidR="00DB23F8" w:rsidRPr="0014083A" w:rsidRDefault="00DB23F8" w:rsidP="004C5D7F">
      <w:pPr>
        <w:bidi w:val="0"/>
        <w:ind w:firstLine="720"/>
        <w:jc w:val="both"/>
        <w:rPr>
          <w:rFonts w:ascii="Times New Roman" w:hAnsi="Times New Roman" w:cs="Times New Roman"/>
        </w:rPr>
      </w:pPr>
      <w:r w:rsidRPr="0014083A">
        <w:rPr>
          <w:rFonts w:ascii="Times New Roman" w:hAnsi="Times New Roman" w:cs="Times New Roman"/>
        </w:rPr>
        <w:t>One group of justifications and distributive principles are consequentialist and focus on minimizing the overall social cost of crime through efficient penal policies.</w:t>
      </w:r>
      <w:r>
        <w:rPr>
          <w:rStyle w:val="FootnoteReference"/>
          <w:rFonts w:ascii="Times New Roman" w:hAnsi="Times New Roman"/>
        </w:rPr>
        <w:footnoteReference w:id="19"/>
      </w:r>
      <w:r w:rsidRPr="0014083A">
        <w:rPr>
          <w:rFonts w:ascii="Times New Roman" w:hAnsi="Times New Roman" w:cs="Times New Roman"/>
        </w:rPr>
        <w:t xml:space="preserve"> Deterrence theories focus on punishing to alter the incentives of the individual offender (i.e., specific deterrence) or the entire population (i.e., general deterrence).</w:t>
      </w:r>
      <w:bookmarkStart w:id="8" w:name="_Ref432066684"/>
      <w:r>
        <w:rPr>
          <w:rStyle w:val="FootnoteReference"/>
          <w:rFonts w:ascii="Times New Roman" w:hAnsi="Times New Roman"/>
        </w:rPr>
        <w:footnoteReference w:id="20"/>
      </w:r>
      <w:bookmarkEnd w:id="8"/>
      <w:r w:rsidRPr="0014083A">
        <w:rPr>
          <w:rFonts w:ascii="Times New Roman" w:hAnsi="Times New Roman" w:cs="Times New Roman"/>
        </w:rPr>
        <w:t xml:space="preserve"> Within a deterrence framework</w:t>
      </w:r>
      <w:r>
        <w:rPr>
          <w:rFonts w:ascii="Times New Roman" w:hAnsi="Times New Roman" w:cs="Times New Roman"/>
        </w:rPr>
        <w:t>,</w:t>
      </w:r>
      <w:r w:rsidRPr="0014083A">
        <w:rPr>
          <w:rFonts w:ascii="Times New Roman" w:hAnsi="Times New Roman" w:cs="Times New Roman"/>
        </w:rPr>
        <w:t xml:space="preserve"> </w:t>
      </w:r>
      <w:r w:rsidRPr="0014083A">
        <w:rPr>
          <w:rFonts w:ascii="Times New Roman" w:hAnsi="Times New Roman" w:cs="Times New Roman"/>
        </w:rPr>
        <w:lastRenderedPageBreak/>
        <w:t xml:space="preserve">the threat of punishment </w:t>
      </w:r>
      <w:proofErr w:type="gramStart"/>
      <w:r w:rsidRPr="0014083A">
        <w:rPr>
          <w:rFonts w:ascii="Times New Roman" w:hAnsi="Times New Roman" w:cs="Times New Roman"/>
        </w:rPr>
        <w:t xml:space="preserve">is </w:t>
      </w:r>
      <w:r>
        <w:rPr>
          <w:rFonts w:ascii="Times New Roman" w:hAnsi="Times New Roman" w:cs="Times New Roman"/>
        </w:rPr>
        <w:t>intended</w:t>
      </w:r>
      <w:proofErr w:type="gramEnd"/>
      <w:r w:rsidRPr="0014083A">
        <w:rPr>
          <w:rFonts w:ascii="Times New Roman" w:hAnsi="Times New Roman" w:cs="Times New Roman"/>
        </w:rPr>
        <w:t xml:space="preserve"> to </w:t>
      </w:r>
      <w:r>
        <w:rPr>
          <w:rFonts w:ascii="Times New Roman" w:hAnsi="Times New Roman" w:cs="Times New Roman"/>
        </w:rPr>
        <w:t xml:space="preserve">make </w:t>
      </w:r>
      <w:r w:rsidRPr="0014083A">
        <w:rPr>
          <w:rFonts w:ascii="Times New Roman" w:hAnsi="Times New Roman" w:cs="Times New Roman"/>
        </w:rPr>
        <w:t>people alter their choices and refrain from criminal activity that they would have engaged in without such a threat. Deterrence theory has highlighted the considerations that should influence the distribution of penalties, key of which are the magnitude of harm and the probability of detection.</w:t>
      </w:r>
    </w:p>
    <w:p w14:paraId="6037AAF9" w14:textId="77777777" w:rsidR="00DB23F8" w:rsidRPr="0014083A" w:rsidRDefault="00DB23F8" w:rsidP="000C0443">
      <w:pPr>
        <w:bidi w:val="0"/>
        <w:ind w:firstLine="720"/>
        <w:jc w:val="both"/>
        <w:rPr>
          <w:rFonts w:ascii="Times New Roman" w:hAnsi="Times New Roman" w:cs="Times New Roman"/>
        </w:rPr>
      </w:pPr>
      <w:r w:rsidRPr="0014083A">
        <w:rPr>
          <w:rFonts w:ascii="Times New Roman" w:hAnsi="Times New Roman" w:cs="Times New Roman"/>
        </w:rPr>
        <w:t>Additional influential consequentialist theories concentrate on rehabilitation and incapacitation as the touchstone</w:t>
      </w:r>
      <w:r>
        <w:rPr>
          <w:rFonts w:ascii="Times New Roman" w:hAnsi="Times New Roman" w:cs="Times New Roman"/>
        </w:rPr>
        <w:t>s</w:t>
      </w:r>
      <w:r w:rsidRPr="0014083A">
        <w:rPr>
          <w:rFonts w:ascii="Times New Roman" w:hAnsi="Times New Roman" w:cs="Times New Roman"/>
        </w:rPr>
        <w:t xml:space="preserve"> of criminal punishment. Rehabilitation focuses on reform</w:t>
      </w:r>
      <w:r>
        <w:rPr>
          <w:rFonts w:ascii="Times New Roman" w:hAnsi="Times New Roman" w:cs="Times New Roman"/>
        </w:rPr>
        <w:t>ing</w:t>
      </w:r>
      <w:r w:rsidRPr="0014083A">
        <w:rPr>
          <w:rFonts w:ascii="Times New Roman" w:hAnsi="Times New Roman" w:cs="Times New Roman"/>
        </w:rPr>
        <w:t xml:space="preserve"> </w:t>
      </w:r>
      <w:r>
        <w:rPr>
          <w:rFonts w:ascii="Times New Roman" w:hAnsi="Times New Roman" w:cs="Times New Roman"/>
        </w:rPr>
        <w:t>offenders</w:t>
      </w:r>
      <w:r w:rsidRPr="0014083A">
        <w:rPr>
          <w:rFonts w:ascii="Times New Roman" w:hAnsi="Times New Roman" w:cs="Times New Roman"/>
        </w:rPr>
        <w:t xml:space="preserve"> such that their values and beliefs will lead them to refrain from offending</w:t>
      </w:r>
      <w:r>
        <w:rPr>
          <w:rFonts w:ascii="Times New Roman" w:hAnsi="Times New Roman" w:cs="Times New Roman"/>
        </w:rPr>
        <w:t xml:space="preserve"> in the future</w:t>
      </w:r>
      <w:r w:rsidRPr="0014083A">
        <w:rPr>
          <w:rFonts w:ascii="Times New Roman" w:hAnsi="Times New Roman" w:cs="Times New Roman"/>
        </w:rPr>
        <w:t>.</w:t>
      </w:r>
      <w:r w:rsidRPr="0014083A">
        <w:rPr>
          <w:rStyle w:val="FootnoteReference"/>
          <w:rFonts w:ascii="Times New Roman" w:hAnsi="Times New Roman"/>
        </w:rPr>
        <w:footnoteReference w:id="21"/>
      </w:r>
      <w:r w:rsidRPr="0014083A">
        <w:rPr>
          <w:rFonts w:ascii="Times New Roman" w:hAnsi="Times New Roman" w:cs="Times New Roman"/>
        </w:rPr>
        <w:t xml:space="preserve"> Such theories examine the unique </w:t>
      </w:r>
      <w:r>
        <w:rPr>
          <w:rFonts w:ascii="Times New Roman" w:hAnsi="Times New Roman" w:cs="Times New Roman"/>
        </w:rPr>
        <w:t>aspects</w:t>
      </w:r>
      <w:r w:rsidRPr="0014083A">
        <w:rPr>
          <w:rFonts w:ascii="Times New Roman" w:hAnsi="Times New Roman" w:cs="Times New Roman"/>
        </w:rPr>
        <w:t xml:space="preserve"> of each offender (e.g., age, upbringing, substance abuse, etc.) in light of existing rehabilitation programs.</w:t>
      </w:r>
      <w:r w:rsidRPr="0014083A">
        <w:rPr>
          <w:rStyle w:val="FootnoteReference"/>
          <w:rFonts w:ascii="Times New Roman" w:hAnsi="Times New Roman"/>
        </w:rPr>
        <w:footnoteReference w:id="22"/>
      </w:r>
      <w:r w:rsidRPr="0014083A">
        <w:rPr>
          <w:rFonts w:ascii="Times New Roman" w:hAnsi="Times New Roman" w:cs="Times New Roman"/>
        </w:rPr>
        <w:t xml:space="preserve"> </w:t>
      </w:r>
      <w:r>
        <w:rPr>
          <w:rFonts w:ascii="Times New Roman" w:hAnsi="Times New Roman" w:cs="Times New Roman"/>
        </w:rPr>
        <w:t>O</w:t>
      </w:r>
      <w:r w:rsidRPr="0014083A">
        <w:rPr>
          <w:rFonts w:ascii="Times New Roman" w:hAnsi="Times New Roman" w:cs="Times New Roman"/>
        </w:rPr>
        <w:t xml:space="preserve">n the other hand, </w:t>
      </w:r>
      <w:r>
        <w:rPr>
          <w:rFonts w:ascii="Times New Roman" w:hAnsi="Times New Roman" w:cs="Times New Roman"/>
        </w:rPr>
        <w:t>i</w:t>
      </w:r>
      <w:r w:rsidRPr="005A0794">
        <w:rPr>
          <w:rFonts w:ascii="Times New Roman" w:hAnsi="Times New Roman" w:cs="Times New Roman"/>
        </w:rPr>
        <w:t>ncapacitation</w:t>
      </w:r>
      <w:r>
        <w:rPr>
          <w:rFonts w:ascii="Times New Roman" w:hAnsi="Times New Roman" w:cs="Times New Roman"/>
        </w:rPr>
        <w:t xml:space="preserve"> </w:t>
      </w:r>
      <w:r w:rsidRPr="0014083A">
        <w:rPr>
          <w:rFonts w:ascii="Times New Roman" w:hAnsi="Times New Roman" w:cs="Times New Roman"/>
        </w:rPr>
        <w:t>focuses on the elimination of the risk created by the offender (usually through incarceration).</w:t>
      </w:r>
      <w:r w:rsidRPr="0014083A">
        <w:rPr>
          <w:rStyle w:val="FootnoteReference"/>
          <w:rFonts w:ascii="Times New Roman" w:hAnsi="Times New Roman"/>
        </w:rPr>
        <w:footnoteReference w:id="23"/>
      </w:r>
      <w:r w:rsidRPr="0014083A">
        <w:rPr>
          <w:rFonts w:ascii="Times New Roman" w:hAnsi="Times New Roman" w:cs="Times New Roman"/>
        </w:rPr>
        <w:t xml:space="preserve"> Within an incapacitative framework</w:t>
      </w:r>
      <w:r>
        <w:rPr>
          <w:rFonts w:ascii="Times New Roman" w:hAnsi="Times New Roman" w:cs="Times New Roman"/>
        </w:rPr>
        <w:t>,</w:t>
      </w:r>
      <w:r w:rsidRPr="0014083A">
        <w:rPr>
          <w:rFonts w:ascii="Times New Roman" w:hAnsi="Times New Roman" w:cs="Times New Roman"/>
        </w:rPr>
        <w:t xml:space="preserve"> attention </w:t>
      </w:r>
      <w:proofErr w:type="gramStart"/>
      <w:r w:rsidRPr="0014083A">
        <w:rPr>
          <w:rFonts w:ascii="Times New Roman" w:hAnsi="Times New Roman" w:cs="Times New Roman"/>
        </w:rPr>
        <w:t>is given</w:t>
      </w:r>
      <w:proofErr w:type="gramEnd"/>
      <w:r w:rsidRPr="0014083A">
        <w:rPr>
          <w:rFonts w:ascii="Times New Roman" w:hAnsi="Times New Roman" w:cs="Times New Roman"/>
        </w:rPr>
        <w:t xml:space="preserve"> to the risk of future offending by the criminal and the costs of incapacitation.</w:t>
      </w:r>
      <w:r w:rsidRPr="0014083A">
        <w:rPr>
          <w:rStyle w:val="FootnoteReference"/>
          <w:rFonts w:ascii="Times New Roman" w:hAnsi="Times New Roman"/>
        </w:rPr>
        <w:footnoteReference w:id="24"/>
      </w:r>
    </w:p>
    <w:p w14:paraId="52A70A91" w14:textId="77777777" w:rsidR="00DB23F8" w:rsidRPr="0014083A" w:rsidRDefault="00DB23F8" w:rsidP="00B36FC1">
      <w:pPr>
        <w:bidi w:val="0"/>
        <w:ind w:firstLine="720"/>
        <w:jc w:val="both"/>
        <w:rPr>
          <w:rFonts w:ascii="Times New Roman" w:hAnsi="Times New Roman" w:cs="Times New Roman"/>
        </w:rPr>
      </w:pPr>
      <w:r w:rsidRPr="0014083A">
        <w:rPr>
          <w:rFonts w:ascii="Times New Roman" w:hAnsi="Times New Roman" w:cs="Times New Roman"/>
        </w:rPr>
        <w:t>A second group of theories takes a deontological approach to punishment.</w:t>
      </w:r>
      <w:r>
        <w:rPr>
          <w:rStyle w:val="FootnoteReference"/>
          <w:rFonts w:ascii="Times New Roman" w:hAnsi="Times New Roman"/>
        </w:rPr>
        <w:footnoteReference w:id="25"/>
      </w:r>
      <w:r w:rsidRPr="0014083A">
        <w:rPr>
          <w:rFonts w:ascii="Times New Roman" w:hAnsi="Times New Roman" w:cs="Times New Roman"/>
        </w:rPr>
        <w:t xml:space="preserve"> Within this framework, the role of punishment is not to further desirable outcomes but rather to treat criminals as they deserve.</w:t>
      </w:r>
      <w:bookmarkStart w:id="9" w:name="_Ref441398455"/>
      <w:r>
        <w:rPr>
          <w:rStyle w:val="FootnoteReference"/>
          <w:rFonts w:ascii="Times New Roman" w:hAnsi="Times New Roman"/>
        </w:rPr>
        <w:footnoteReference w:id="26"/>
      </w:r>
      <w:bookmarkEnd w:id="9"/>
      <w:r w:rsidRPr="0014083A">
        <w:rPr>
          <w:rFonts w:ascii="Times New Roman" w:hAnsi="Times New Roman" w:cs="Times New Roman"/>
        </w:rPr>
        <w:t xml:space="preserve"> </w:t>
      </w:r>
      <w:r>
        <w:rPr>
          <w:rFonts w:ascii="Times New Roman" w:hAnsi="Times New Roman" w:cs="Times New Roman"/>
        </w:rPr>
        <w:t>Given the somewhat elusive meaning of the term “desert”, retributivist theories often struggle with offering a definitive answer to the question of what the appropriate sanction should be. Nonetheless, retributivists emphasize that penalties should be proportional to the crime and offer measures that help rank offenders.</w:t>
      </w:r>
      <w:r>
        <w:rPr>
          <w:rStyle w:val="FootnoteReference"/>
          <w:rFonts w:ascii="Times New Roman" w:hAnsi="Times New Roman"/>
        </w:rPr>
        <w:footnoteReference w:id="27"/>
      </w:r>
      <w:r>
        <w:rPr>
          <w:rFonts w:ascii="Times New Roman" w:hAnsi="Times New Roman" w:cs="Times New Roman"/>
        </w:rPr>
        <w:t xml:space="preserve"> A</w:t>
      </w:r>
      <w:r w:rsidRPr="005F1EA5">
        <w:rPr>
          <w:rFonts w:ascii="Times New Roman" w:hAnsi="Times New Roman" w:cs="Times New Roman"/>
        </w:rPr>
        <w:t>ccording to deontologists</w:t>
      </w:r>
      <w:r>
        <w:rPr>
          <w:rFonts w:ascii="Times New Roman" w:hAnsi="Times New Roman" w:cs="Times New Roman"/>
        </w:rPr>
        <w:t>, t</w:t>
      </w:r>
      <w:r w:rsidRPr="0014083A">
        <w:rPr>
          <w:rFonts w:ascii="Times New Roman" w:hAnsi="Times New Roman" w:cs="Times New Roman"/>
        </w:rPr>
        <w:t>he</w:t>
      </w:r>
      <w:r>
        <w:rPr>
          <w:rFonts w:ascii="Times New Roman" w:hAnsi="Times New Roman" w:cs="Times New Roman"/>
        </w:rPr>
        <w:t xml:space="preserve"> main</w:t>
      </w:r>
      <w:r w:rsidRPr="0014083A">
        <w:rPr>
          <w:rFonts w:ascii="Times New Roman" w:hAnsi="Times New Roman" w:cs="Times New Roman"/>
        </w:rPr>
        <w:t xml:space="preserve"> criteria to evaluate punishment </w:t>
      </w:r>
      <w:r>
        <w:rPr>
          <w:rFonts w:ascii="Times New Roman" w:hAnsi="Times New Roman" w:cs="Times New Roman"/>
        </w:rPr>
        <w:t>depends</w:t>
      </w:r>
      <w:r w:rsidRPr="0014083A">
        <w:rPr>
          <w:rFonts w:ascii="Times New Roman" w:hAnsi="Times New Roman" w:cs="Times New Roman"/>
        </w:rPr>
        <w:t xml:space="preserve"> on the wrongfulness of the act committed by the offender and the degree of blame that </w:t>
      </w:r>
      <w:proofErr w:type="gramStart"/>
      <w:r w:rsidRPr="0014083A">
        <w:rPr>
          <w:rFonts w:ascii="Times New Roman" w:hAnsi="Times New Roman" w:cs="Times New Roman"/>
        </w:rPr>
        <w:t>can be attributed</w:t>
      </w:r>
      <w:proofErr w:type="gramEnd"/>
      <w:r w:rsidRPr="0014083A">
        <w:rPr>
          <w:rFonts w:ascii="Times New Roman" w:hAnsi="Times New Roman" w:cs="Times New Roman"/>
        </w:rPr>
        <w:t xml:space="preserve"> to him.</w:t>
      </w:r>
      <w:r w:rsidRPr="00C10E9F">
        <w:rPr>
          <w:rStyle w:val="FootnoteReference"/>
          <w:rFonts w:cs="Arial"/>
        </w:rPr>
        <w:footnoteReference w:id="28"/>
      </w:r>
      <w:r w:rsidRPr="0014083A">
        <w:rPr>
          <w:rFonts w:ascii="Times New Roman" w:hAnsi="Times New Roman" w:cs="Times New Roman"/>
        </w:rPr>
        <w:t xml:space="preserve"> Greater wrongfulness (e.g., homicide vs. theft) and greater blame (intentional killing vs. reckless killing) merit a more severe penal reaction.</w:t>
      </w:r>
      <w:r>
        <w:rPr>
          <w:rFonts w:ascii="Times New Roman" w:hAnsi="Times New Roman" w:cs="Times New Roman"/>
        </w:rPr>
        <w:t xml:space="preserve"> </w:t>
      </w:r>
    </w:p>
    <w:p w14:paraId="30D075A6" w14:textId="77777777" w:rsidR="001F5C32" w:rsidRDefault="00DB23F8" w:rsidP="004C0BD1">
      <w:pPr>
        <w:bidi w:val="0"/>
        <w:ind w:firstLine="720"/>
        <w:jc w:val="both"/>
        <w:rPr>
          <w:rFonts w:ascii="Times New Roman" w:hAnsi="Times New Roman" w:cs="Times New Roman"/>
          <w:rtl/>
        </w:rPr>
      </w:pPr>
      <w:r>
        <w:rPr>
          <w:rFonts w:ascii="Times New Roman" w:hAnsi="Times New Roman" w:cs="Times New Roman"/>
        </w:rPr>
        <w:t>N</w:t>
      </w:r>
      <w:r w:rsidRPr="0014083A">
        <w:rPr>
          <w:rFonts w:ascii="Times New Roman" w:hAnsi="Times New Roman" w:cs="Times New Roman"/>
        </w:rPr>
        <w:t>umerous penal theories have explored potential interactions between the different primary goals of punishment described</w:t>
      </w:r>
      <w:r>
        <w:rPr>
          <w:rFonts w:ascii="Times New Roman" w:hAnsi="Times New Roman" w:cs="Times New Roman"/>
        </w:rPr>
        <w:t xml:space="preserve"> above</w:t>
      </w:r>
      <w:r w:rsidRPr="0014083A">
        <w:rPr>
          <w:rFonts w:ascii="Times New Roman" w:hAnsi="Times New Roman" w:cs="Times New Roman"/>
        </w:rPr>
        <w:t>. Many modern</w:t>
      </w:r>
      <w:r>
        <w:rPr>
          <w:rFonts w:ascii="Times New Roman" w:hAnsi="Times New Roman" w:cs="Times New Roman"/>
        </w:rPr>
        <w:t>-</w:t>
      </w:r>
      <w:r w:rsidRPr="0014083A">
        <w:rPr>
          <w:rFonts w:ascii="Times New Roman" w:hAnsi="Times New Roman" w:cs="Times New Roman"/>
        </w:rPr>
        <w:t xml:space="preserve">day theorists take the position that the criminal justice system aims to further a utilitarian goal of crime reduction but that this goal </w:t>
      </w:r>
      <w:proofErr w:type="gramStart"/>
      <w:r w:rsidRPr="0014083A">
        <w:rPr>
          <w:rFonts w:ascii="Times New Roman" w:hAnsi="Times New Roman" w:cs="Times New Roman"/>
        </w:rPr>
        <w:t>is limited</w:t>
      </w:r>
      <w:proofErr w:type="gramEnd"/>
      <w:r w:rsidRPr="0014083A">
        <w:rPr>
          <w:rFonts w:ascii="Times New Roman" w:hAnsi="Times New Roman" w:cs="Times New Roman"/>
        </w:rPr>
        <w:t xml:space="preserve"> by deontological constraints that forbid the punishment of the innocent and require all punishments be proportional to the deed committed.</w:t>
      </w:r>
      <w:r w:rsidRPr="0014083A">
        <w:rPr>
          <w:rStyle w:val="FootnoteReference"/>
          <w:rFonts w:ascii="Times New Roman" w:hAnsi="Times New Roman"/>
        </w:rPr>
        <w:footnoteReference w:id="29"/>
      </w:r>
      <w:r w:rsidRPr="0014083A">
        <w:rPr>
          <w:rFonts w:ascii="Times New Roman" w:hAnsi="Times New Roman" w:cs="Times New Roman"/>
        </w:rPr>
        <w:t xml:space="preserve"> Others have advocated for the use of the public</w:t>
      </w:r>
      <w:r>
        <w:rPr>
          <w:rFonts w:ascii="Times New Roman" w:hAnsi="Times New Roman" w:cs="Times New Roman"/>
        </w:rPr>
        <w:t>’</w:t>
      </w:r>
      <w:r w:rsidRPr="0014083A">
        <w:rPr>
          <w:rFonts w:ascii="Times New Roman" w:hAnsi="Times New Roman" w:cs="Times New Roman"/>
        </w:rPr>
        <w:t xml:space="preserve">s perceptions of just desert (rather than the moral dictates of desert) as the </w:t>
      </w:r>
      <w:r w:rsidRPr="0014083A">
        <w:rPr>
          <w:rFonts w:ascii="Times New Roman" w:hAnsi="Times New Roman" w:cs="Times New Roman"/>
        </w:rPr>
        <w:lastRenderedPageBreak/>
        <w:t>guiding principle for the distribution of punishments</w:t>
      </w:r>
      <w:r>
        <w:rPr>
          <w:rFonts w:ascii="Times New Roman" w:hAnsi="Times New Roman" w:cs="Times New Roman"/>
        </w:rPr>
        <w:t xml:space="preserve"> on consequentialist grounds</w:t>
      </w:r>
      <w:r w:rsidRPr="0014083A">
        <w:rPr>
          <w:rFonts w:ascii="Times New Roman" w:hAnsi="Times New Roman" w:cs="Times New Roman"/>
        </w:rPr>
        <w:t>.</w:t>
      </w:r>
      <w:r w:rsidRPr="0014083A">
        <w:rPr>
          <w:rStyle w:val="FootnoteReference"/>
          <w:rFonts w:ascii="Times New Roman" w:hAnsi="Times New Roman"/>
        </w:rPr>
        <w:footnoteReference w:id="30"/>
      </w:r>
      <w:r w:rsidRPr="0014083A">
        <w:rPr>
          <w:rFonts w:ascii="Times New Roman" w:hAnsi="Times New Roman" w:cs="Times New Roman"/>
        </w:rPr>
        <w:t xml:space="preserve"> According to this line of thought, aligning public opinion with legal practices can help bolster the law’s legitimacy and </w:t>
      </w:r>
      <w:r>
        <w:rPr>
          <w:rFonts w:ascii="Times New Roman" w:hAnsi="Times New Roman" w:cs="Times New Roman"/>
        </w:rPr>
        <w:t>increase</w:t>
      </w:r>
      <w:r w:rsidRPr="0014083A">
        <w:rPr>
          <w:rFonts w:ascii="Times New Roman" w:hAnsi="Times New Roman" w:cs="Times New Roman"/>
        </w:rPr>
        <w:t xml:space="preserve"> compliance.</w:t>
      </w:r>
      <w:r w:rsidRPr="0014083A">
        <w:rPr>
          <w:rStyle w:val="FootnoteReference"/>
          <w:rFonts w:ascii="Times New Roman" w:hAnsi="Times New Roman"/>
        </w:rPr>
        <w:footnoteReference w:id="31"/>
      </w:r>
      <w:r w:rsidR="004C0BD1">
        <w:rPr>
          <w:rFonts w:ascii="Times New Roman" w:hAnsi="Times New Roman" w:cs="Times New Roman"/>
        </w:rPr>
        <w:t xml:space="preserve"> </w:t>
      </w:r>
    </w:p>
    <w:p w14:paraId="4E8FFCED" w14:textId="3EE2742E" w:rsidR="000B073B" w:rsidRDefault="001F5C32" w:rsidP="00BF0F5B">
      <w:pPr>
        <w:bidi w:val="0"/>
        <w:ind w:firstLine="720"/>
        <w:jc w:val="both"/>
        <w:rPr>
          <w:rFonts w:ascii="Times New Roman" w:hAnsi="Times New Roman" w:cs="Times New Roman"/>
        </w:rPr>
      </w:pPr>
      <w:r>
        <w:rPr>
          <w:rFonts w:ascii="Times New Roman" w:hAnsi="Times New Roman" w:cs="Times New Roman"/>
        </w:rPr>
        <w:t xml:space="preserve">To be sure, criminal law scholars have certainly taken note of evidentiary considerations. In his seminal work on criminal </w:t>
      </w:r>
      <w:r w:rsidR="0038687B">
        <w:rPr>
          <w:rFonts w:ascii="Times New Roman" w:hAnsi="Times New Roman" w:cs="Times New Roman"/>
        </w:rPr>
        <w:t>codes,</w:t>
      </w:r>
      <w:r>
        <w:rPr>
          <w:rFonts w:ascii="Times New Roman" w:hAnsi="Times New Roman" w:cs="Times New Roman"/>
        </w:rPr>
        <w:t xml:space="preserve"> </w:t>
      </w:r>
      <w:r w:rsidR="00564454">
        <w:rPr>
          <w:rFonts w:ascii="Times New Roman" w:hAnsi="Times New Roman" w:cs="Times New Roman"/>
        </w:rPr>
        <w:t xml:space="preserve">Jeremy </w:t>
      </w:r>
      <w:r>
        <w:rPr>
          <w:rFonts w:ascii="Times New Roman" w:hAnsi="Times New Roman" w:cs="Times New Roman"/>
        </w:rPr>
        <w:t>Bentham explicitly alluded to “evidentiary crimes,”</w:t>
      </w:r>
      <w:bookmarkStart w:id="10" w:name="_Ref465697395"/>
      <w:r w:rsidR="00541D22">
        <w:rPr>
          <w:rStyle w:val="FootnoteReference"/>
          <w:rFonts w:ascii="Times New Roman" w:hAnsi="Times New Roman"/>
        </w:rPr>
        <w:footnoteReference w:id="32"/>
      </w:r>
      <w:bookmarkEnd w:id="10"/>
      <w:r>
        <w:rPr>
          <w:rFonts w:ascii="Times New Roman" w:hAnsi="Times New Roman" w:cs="Times New Roman"/>
        </w:rPr>
        <w:t xml:space="preserve"> which he defined as “</w:t>
      </w:r>
      <w:r w:rsidRPr="001F5C32">
        <w:rPr>
          <w:rFonts w:ascii="Times New Roman" w:hAnsi="Times New Roman" w:cs="Times New Roman"/>
        </w:rPr>
        <w:t>acts injurious or otherwise in</w:t>
      </w:r>
      <w:r>
        <w:rPr>
          <w:rFonts w:ascii="Times New Roman" w:hAnsi="Times New Roman" w:cs="Times New Roman"/>
        </w:rPr>
        <w:t xml:space="preserve"> </w:t>
      </w:r>
      <w:r w:rsidRPr="001F5C32">
        <w:rPr>
          <w:rFonts w:ascii="Times New Roman" w:hAnsi="Times New Roman" w:cs="Times New Roman"/>
        </w:rPr>
        <w:t>themselves, but furnishing a presumption of an offence committed</w:t>
      </w:r>
      <w:r w:rsidR="00541D22">
        <w:rPr>
          <w:rFonts w:ascii="Times New Roman" w:hAnsi="Times New Roman" w:cs="Times New Roman"/>
        </w:rPr>
        <w:t>.</w:t>
      </w:r>
      <w:r>
        <w:rPr>
          <w:rFonts w:ascii="Times New Roman" w:hAnsi="Times New Roman" w:cs="Times New Roman"/>
        </w:rPr>
        <w:t>”</w:t>
      </w:r>
      <w:r w:rsidR="00541D22">
        <w:rPr>
          <w:rStyle w:val="FootnoteReference"/>
          <w:rFonts w:ascii="Times New Roman" w:hAnsi="Times New Roman"/>
        </w:rPr>
        <w:footnoteReference w:id="33"/>
      </w:r>
      <w:r w:rsidR="00541D22">
        <w:rPr>
          <w:rFonts w:ascii="Times New Roman" w:hAnsi="Times New Roman" w:cs="Times New Roman"/>
        </w:rPr>
        <w:t xml:space="preserve"> Using this framework Bentham highlighted the role of crimes such as possession of stolen property </w:t>
      </w:r>
      <w:r w:rsidR="00C30D3F">
        <w:rPr>
          <w:rFonts w:ascii="Times New Roman" w:hAnsi="Times New Roman" w:cs="Times New Roman"/>
        </w:rPr>
        <w:t xml:space="preserve">(that can indicate theft) </w:t>
      </w:r>
      <w:r w:rsidR="00541D22">
        <w:rPr>
          <w:rFonts w:ascii="Times New Roman" w:hAnsi="Times New Roman" w:cs="Times New Roman"/>
        </w:rPr>
        <w:t>and concealment of the birth of an illegitimate child</w:t>
      </w:r>
      <w:r w:rsidR="00C30D3F">
        <w:rPr>
          <w:rFonts w:ascii="Times New Roman" w:hAnsi="Times New Roman" w:cs="Times New Roman"/>
        </w:rPr>
        <w:t xml:space="preserve"> (that can indicate murder) in the overall picture of criminal offences</w:t>
      </w:r>
      <w:r w:rsidR="00541D22">
        <w:rPr>
          <w:rFonts w:ascii="Times New Roman" w:hAnsi="Times New Roman" w:cs="Times New Roman"/>
        </w:rPr>
        <w:t>.</w:t>
      </w:r>
      <w:r w:rsidR="00C30D3F">
        <w:rPr>
          <w:rStyle w:val="FootnoteReference"/>
          <w:rFonts w:ascii="Times New Roman" w:hAnsi="Times New Roman"/>
        </w:rPr>
        <w:footnoteReference w:id="34"/>
      </w:r>
      <w:r w:rsidR="00C30D3F">
        <w:rPr>
          <w:rFonts w:ascii="Times New Roman" w:hAnsi="Times New Roman" w:cs="Times New Roman"/>
        </w:rPr>
        <w:t xml:space="preserve"> More recently, </w:t>
      </w:r>
      <w:r w:rsidR="00564454">
        <w:rPr>
          <w:rFonts w:ascii="Times New Roman" w:hAnsi="Times New Roman" w:cs="Times New Roman"/>
        </w:rPr>
        <w:t xml:space="preserve">Professor </w:t>
      </w:r>
      <w:r w:rsidR="0095193E">
        <w:rPr>
          <w:rFonts w:ascii="Times New Roman" w:hAnsi="Times New Roman" w:cs="Times New Roman"/>
        </w:rPr>
        <w:t xml:space="preserve">Frederick </w:t>
      </w:r>
      <w:proofErr w:type="spellStart"/>
      <w:r w:rsidR="0095193E">
        <w:rPr>
          <w:rFonts w:ascii="Times New Roman" w:hAnsi="Times New Roman" w:cs="Times New Roman"/>
        </w:rPr>
        <w:t>Schauer</w:t>
      </w:r>
      <w:proofErr w:type="spellEnd"/>
      <w:r w:rsidR="0095193E">
        <w:rPr>
          <w:rFonts w:ascii="Times New Roman" w:hAnsi="Times New Roman" w:cs="Times New Roman"/>
        </w:rPr>
        <w:t xml:space="preserve"> elaborated on this point, and argued that evidentiary crimes are common in modern criminal codes</w:t>
      </w:r>
      <w:r w:rsidR="00FF311A">
        <w:rPr>
          <w:rFonts w:ascii="Times New Roman" w:hAnsi="Times New Roman" w:cs="Times New Roman"/>
        </w:rPr>
        <w:t xml:space="preserve"> as well</w:t>
      </w:r>
      <w:r w:rsidR="0095193E">
        <w:rPr>
          <w:rFonts w:ascii="Times New Roman" w:hAnsi="Times New Roman" w:cs="Times New Roman"/>
        </w:rPr>
        <w:t>.</w:t>
      </w:r>
      <w:r w:rsidR="0095193E">
        <w:rPr>
          <w:rStyle w:val="FootnoteReference"/>
          <w:rFonts w:ascii="Times New Roman" w:hAnsi="Times New Roman"/>
        </w:rPr>
        <w:footnoteReference w:id="35"/>
      </w:r>
      <w:r w:rsidR="0095193E">
        <w:rPr>
          <w:rFonts w:ascii="Times New Roman" w:hAnsi="Times New Roman" w:cs="Times New Roman"/>
        </w:rPr>
        <w:t xml:space="preserve"> Thus, for example, he </w:t>
      </w:r>
      <w:r w:rsidR="00FF311A">
        <w:rPr>
          <w:rFonts w:ascii="Times New Roman" w:hAnsi="Times New Roman" w:cs="Times New Roman"/>
        </w:rPr>
        <w:t>demonstrated</w:t>
      </w:r>
      <w:r w:rsidR="0095193E">
        <w:rPr>
          <w:rFonts w:ascii="Times New Roman" w:hAnsi="Times New Roman" w:cs="Times New Roman"/>
        </w:rPr>
        <w:t xml:space="preserve"> how crimes that rest on thresholds such as the quantity of a drug possessed (that can indicate intention to deal) and the speed of driving (that can indicate unsafe driving) are geared towards evidentiary purposes.</w:t>
      </w:r>
      <w:r w:rsidR="0038687B">
        <w:rPr>
          <w:rStyle w:val="FootnoteReference"/>
          <w:rFonts w:ascii="Times New Roman" w:hAnsi="Times New Roman"/>
        </w:rPr>
        <w:footnoteReference w:id="36"/>
      </w:r>
      <w:r w:rsidR="0095193E">
        <w:rPr>
          <w:rFonts w:ascii="Times New Roman" w:hAnsi="Times New Roman" w:cs="Times New Roman"/>
        </w:rPr>
        <w:t xml:space="preserve"> </w:t>
      </w:r>
      <w:r w:rsidR="000B073B">
        <w:rPr>
          <w:rFonts w:ascii="Times New Roman" w:hAnsi="Times New Roman" w:cs="Times New Roman"/>
        </w:rPr>
        <w:t xml:space="preserve">Similarly, </w:t>
      </w:r>
      <w:r w:rsidR="00E71005">
        <w:rPr>
          <w:rFonts w:ascii="Times New Roman" w:hAnsi="Times New Roman" w:cs="Times New Roman"/>
        </w:rPr>
        <w:t xml:space="preserve">the </w:t>
      </w:r>
      <w:r w:rsidR="00BF0F5B">
        <w:rPr>
          <w:rFonts w:ascii="Times New Roman" w:hAnsi="Times New Roman" w:cs="Times New Roman"/>
        </w:rPr>
        <w:t>literature</w:t>
      </w:r>
      <w:r w:rsidR="000B073B">
        <w:rPr>
          <w:rFonts w:ascii="Times New Roman" w:hAnsi="Times New Roman" w:cs="Times New Roman"/>
        </w:rPr>
        <w:t xml:space="preserve"> on the mental state of crimes has also alluded to evidentiary considerations. The clearest example of such considerations driving the design of offences is strict criminal liability. While strict liability is relatively rare in the criminal context, there are specific instance in which it </w:t>
      </w:r>
      <w:proofErr w:type="gramStart"/>
      <w:r w:rsidR="000B073B">
        <w:rPr>
          <w:rFonts w:ascii="Times New Roman" w:hAnsi="Times New Roman" w:cs="Times New Roman"/>
        </w:rPr>
        <w:t>is employed</w:t>
      </w:r>
      <w:proofErr w:type="gramEnd"/>
      <w:r w:rsidR="000B073B">
        <w:rPr>
          <w:rFonts w:ascii="Times New Roman" w:hAnsi="Times New Roman" w:cs="Times New Roman"/>
        </w:rPr>
        <w:t>.</w:t>
      </w:r>
      <w:bookmarkStart w:id="11" w:name="_Ref465717379"/>
      <w:r w:rsidR="000B073B">
        <w:rPr>
          <w:rStyle w:val="FootnoteReference"/>
          <w:rFonts w:ascii="Times New Roman" w:hAnsi="Times New Roman"/>
        </w:rPr>
        <w:footnoteReference w:id="37"/>
      </w:r>
      <w:bookmarkEnd w:id="11"/>
      <w:r w:rsidR="000B073B">
        <w:rPr>
          <w:rFonts w:ascii="Times New Roman" w:hAnsi="Times New Roman" w:cs="Times New Roman"/>
        </w:rPr>
        <w:t xml:space="preserve"> Criminal law scholars have long since recognized that the shift towards strict liability rests, among other things, on evidentiary considerations. As Professor Wayne LaFave notes, the strict liability crime is often “created in order to help the prosecution cope with a situation wherein intention, knowledge, recklessness, or negligence is hard to prove.”</w:t>
      </w:r>
      <w:bookmarkStart w:id="12" w:name="_Ref465717383"/>
      <w:r w:rsidR="000B073B">
        <w:rPr>
          <w:rStyle w:val="FootnoteReference"/>
          <w:rFonts w:ascii="Times New Roman" w:hAnsi="Times New Roman"/>
        </w:rPr>
        <w:footnoteReference w:id="38"/>
      </w:r>
      <w:bookmarkEnd w:id="12"/>
      <w:r w:rsidR="000B073B">
        <w:rPr>
          <w:rFonts w:ascii="Times New Roman" w:hAnsi="Times New Roman" w:cs="Times New Roman"/>
        </w:rPr>
        <w:t xml:space="preserve"> </w:t>
      </w:r>
    </w:p>
    <w:p w14:paraId="73062AC5" w14:textId="342EDD88" w:rsidR="001F5C32" w:rsidRDefault="003059BB" w:rsidP="00564454">
      <w:pPr>
        <w:bidi w:val="0"/>
        <w:ind w:firstLine="720"/>
        <w:jc w:val="both"/>
        <w:rPr>
          <w:rFonts w:ascii="Times New Roman" w:hAnsi="Times New Roman" w:cs="Times New Roman" w:hint="cs"/>
          <w:rtl/>
        </w:rPr>
      </w:pPr>
      <w:r>
        <w:rPr>
          <w:rFonts w:ascii="Times New Roman" w:hAnsi="Times New Roman" w:cs="Times New Roman"/>
        </w:rPr>
        <w:t xml:space="preserve">All these examples suggest that criminal law scholars </w:t>
      </w:r>
      <w:proofErr w:type="gramStart"/>
      <w:r>
        <w:rPr>
          <w:rFonts w:ascii="Times New Roman" w:hAnsi="Times New Roman" w:cs="Times New Roman"/>
        </w:rPr>
        <w:t>are attuned</w:t>
      </w:r>
      <w:proofErr w:type="gramEnd"/>
      <w:r>
        <w:rPr>
          <w:rFonts w:ascii="Times New Roman" w:hAnsi="Times New Roman" w:cs="Times New Roman"/>
        </w:rPr>
        <w:t xml:space="preserve"> to the evidentiary ramifications of the definition of the elements of a crime. Nonetheless, w</w:t>
      </w:r>
      <w:r w:rsidR="00FF311A">
        <w:rPr>
          <w:rFonts w:ascii="Times New Roman" w:hAnsi="Times New Roman" w:cs="Times New Roman"/>
        </w:rPr>
        <w:t xml:space="preserve">hile </w:t>
      </w:r>
      <w:r w:rsidR="00E71005">
        <w:rPr>
          <w:rFonts w:ascii="Times New Roman" w:hAnsi="Times New Roman" w:cs="Times New Roman"/>
        </w:rPr>
        <w:t>their</w:t>
      </w:r>
      <w:r w:rsidR="00FF311A">
        <w:rPr>
          <w:rFonts w:ascii="Times New Roman" w:hAnsi="Times New Roman" w:cs="Times New Roman"/>
        </w:rPr>
        <w:t xml:space="preserve"> analysis acknowledges the evidentiary nature of criminal law, it does not examine the way in which </w:t>
      </w:r>
      <w:r>
        <w:rPr>
          <w:rFonts w:ascii="Times New Roman" w:hAnsi="Times New Roman" w:cs="Times New Roman"/>
        </w:rPr>
        <w:t>evidentiary</w:t>
      </w:r>
      <w:r w:rsidR="00FF311A">
        <w:rPr>
          <w:rFonts w:ascii="Times New Roman" w:hAnsi="Times New Roman" w:cs="Times New Roman"/>
        </w:rPr>
        <w:t xml:space="preserve"> crimes should fit into </w:t>
      </w:r>
      <w:r>
        <w:rPr>
          <w:rFonts w:ascii="Times New Roman" w:hAnsi="Times New Roman" w:cs="Times New Roman"/>
        </w:rPr>
        <w:t xml:space="preserve">the menu of punishment of </w:t>
      </w:r>
      <w:r w:rsidR="00FF311A">
        <w:rPr>
          <w:rFonts w:ascii="Times New Roman" w:hAnsi="Times New Roman" w:cs="Times New Roman"/>
        </w:rPr>
        <w:t>a penal code. Bentham, for instance, takes as a given the legal framework according to which men who meet together armed and disguised are subject to capital punishment “</w:t>
      </w:r>
      <w:r w:rsidR="00FF311A" w:rsidRPr="00FF311A">
        <w:rPr>
          <w:rFonts w:ascii="Times New Roman" w:hAnsi="Times New Roman" w:cs="Times New Roman"/>
        </w:rPr>
        <w:t>because this is supposed to be</w:t>
      </w:r>
      <w:r w:rsidR="00FF311A">
        <w:rPr>
          <w:rFonts w:ascii="Times New Roman" w:hAnsi="Times New Roman" w:cs="Times New Roman"/>
        </w:rPr>
        <w:t xml:space="preserve"> </w:t>
      </w:r>
      <w:r w:rsidR="00FF311A" w:rsidRPr="00FF311A">
        <w:rPr>
          <w:rFonts w:ascii="Times New Roman" w:hAnsi="Times New Roman" w:cs="Times New Roman"/>
        </w:rPr>
        <w:t>a proof of a formed design to offer violent resistance to the</w:t>
      </w:r>
      <w:r w:rsidR="00FF311A">
        <w:rPr>
          <w:rFonts w:ascii="Times New Roman" w:hAnsi="Times New Roman" w:cs="Times New Roman"/>
        </w:rPr>
        <w:t xml:space="preserve"> </w:t>
      </w:r>
      <w:r w:rsidR="00FF311A" w:rsidRPr="00FF311A">
        <w:rPr>
          <w:rFonts w:ascii="Times New Roman" w:hAnsi="Times New Roman" w:cs="Times New Roman"/>
        </w:rPr>
        <w:t>officers of the customs</w:t>
      </w:r>
      <w:r w:rsidR="00FF311A">
        <w:rPr>
          <w:rFonts w:ascii="Times New Roman" w:hAnsi="Times New Roman" w:cs="Times New Roman"/>
        </w:rPr>
        <w:t>.”</w:t>
      </w:r>
      <w:r w:rsidR="00FF311A">
        <w:rPr>
          <w:rStyle w:val="FootnoteReference"/>
          <w:rFonts w:ascii="Times New Roman" w:hAnsi="Times New Roman"/>
        </w:rPr>
        <w:footnoteReference w:id="39"/>
      </w:r>
      <w:r w:rsidR="00FF311A">
        <w:rPr>
          <w:rFonts w:ascii="Times New Roman" w:hAnsi="Times New Roman" w:cs="Times New Roman"/>
        </w:rPr>
        <w:t xml:space="preserve"> </w:t>
      </w:r>
      <w:r w:rsidR="000B073B">
        <w:rPr>
          <w:rFonts w:ascii="Times New Roman" w:hAnsi="Times New Roman" w:cs="Times New Roman"/>
        </w:rPr>
        <w:t xml:space="preserve">In this regard, his analysis neglects to deal with the </w:t>
      </w:r>
      <w:r>
        <w:rPr>
          <w:rFonts w:ascii="Times New Roman" w:hAnsi="Times New Roman" w:cs="Times New Roman"/>
        </w:rPr>
        <w:t xml:space="preserve">evidentiary uncertainty that </w:t>
      </w:r>
      <w:proofErr w:type="gramStart"/>
      <w:r>
        <w:rPr>
          <w:rFonts w:ascii="Times New Roman" w:hAnsi="Times New Roman" w:cs="Times New Roman"/>
        </w:rPr>
        <w:t>is embedded</w:t>
      </w:r>
      <w:proofErr w:type="gramEnd"/>
      <w:r>
        <w:rPr>
          <w:rFonts w:ascii="Times New Roman" w:hAnsi="Times New Roman" w:cs="Times New Roman"/>
        </w:rPr>
        <w:t xml:space="preserve"> into </w:t>
      </w:r>
      <w:r w:rsidR="00BF0F5B">
        <w:rPr>
          <w:rFonts w:ascii="Times New Roman" w:hAnsi="Times New Roman" w:cs="Times New Roman"/>
        </w:rPr>
        <w:t xml:space="preserve">convictions of such crimes. </w:t>
      </w:r>
    </w:p>
    <w:p w14:paraId="1391E596" w14:textId="2C961314" w:rsidR="004C0BD1" w:rsidRPr="0014083A" w:rsidRDefault="0038687B" w:rsidP="00FC3217">
      <w:pPr>
        <w:bidi w:val="0"/>
        <w:ind w:firstLine="720"/>
        <w:jc w:val="both"/>
        <w:rPr>
          <w:rFonts w:ascii="Times New Roman" w:hAnsi="Times New Roman" w:cs="Times New Roman"/>
        </w:rPr>
      </w:pPr>
      <w:r>
        <w:rPr>
          <w:rFonts w:ascii="Times New Roman" w:hAnsi="Times New Roman" w:cs="Times New Roman"/>
        </w:rPr>
        <w:t>In conclusion</w:t>
      </w:r>
      <w:r w:rsidR="004C0BD1">
        <w:rPr>
          <w:rFonts w:ascii="Times New Roman" w:hAnsi="Times New Roman" w:cs="Times New Roman"/>
        </w:rPr>
        <w:t xml:space="preserve">, </w:t>
      </w:r>
      <w:r w:rsidR="003059BB">
        <w:rPr>
          <w:rFonts w:ascii="Times New Roman" w:hAnsi="Times New Roman" w:cs="Times New Roman"/>
        </w:rPr>
        <w:t xml:space="preserve">the literature on crime and punishment has mostly taken the view </w:t>
      </w:r>
      <w:r w:rsidR="004C0BD1">
        <w:rPr>
          <w:rFonts w:ascii="Times New Roman" w:hAnsi="Times New Roman" w:cs="Times New Roman"/>
        </w:rPr>
        <w:t xml:space="preserve">that the structure of substantive criminal law </w:t>
      </w:r>
      <w:proofErr w:type="gramStart"/>
      <w:r w:rsidR="004C0BD1">
        <w:rPr>
          <w:rFonts w:ascii="Times New Roman" w:hAnsi="Times New Roman" w:cs="Times New Roman"/>
        </w:rPr>
        <w:t>should be driven</w:t>
      </w:r>
      <w:proofErr w:type="gramEnd"/>
      <w:r w:rsidR="004C0BD1">
        <w:rPr>
          <w:rFonts w:ascii="Times New Roman" w:hAnsi="Times New Roman" w:cs="Times New Roman"/>
        </w:rPr>
        <w:t xml:space="preserve"> by its primary goals, and not by the realities of trials and fact-finding. </w:t>
      </w:r>
      <w:r w:rsidR="004C0BD1" w:rsidRPr="0014083A">
        <w:rPr>
          <w:rFonts w:ascii="Times New Roman" w:hAnsi="Times New Roman" w:cs="Times New Roman"/>
        </w:rPr>
        <w:t>In the words of Prof</w:t>
      </w:r>
      <w:r w:rsidR="004C0BD1">
        <w:rPr>
          <w:rFonts w:ascii="Times New Roman" w:hAnsi="Times New Roman" w:cs="Times New Roman"/>
        </w:rPr>
        <w:t>essor</w:t>
      </w:r>
      <w:r w:rsidR="004C0BD1" w:rsidRPr="0014083A">
        <w:rPr>
          <w:rFonts w:ascii="Times New Roman" w:hAnsi="Times New Roman" w:cs="Times New Roman"/>
        </w:rPr>
        <w:t xml:space="preserve"> </w:t>
      </w:r>
      <w:proofErr w:type="spellStart"/>
      <w:r w:rsidR="004C0BD1" w:rsidRPr="0014083A">
        <w:rPr>
          <w:rFonts w:ascii="Times New Roman" w:hAnsi="Times New Roman" w:cs="Times New Roman"/>
        </w:rPr>
        <w:t>Tatjana</w:t>
      </w:r>
      <w:proofErr w:type="spellEnd"/>
      <w:r w:rsidR="004C0BD1" w:rsidRPr="0014083A">
        <w:rPr>
          <w:rFonts w:ascii="Times New Roman" w:hAnsi="Times New Roman" w:cs="Times New Roman"/>
        </w:rPr>
        <w:t xml:space="preserve"> </w:t>
      </w:r>
      <w:proofErr w:type="spellStart"/>
      <w:r w:rsidR="004C0BD1" w:rsidRPr="0014083A">
        <w:rPr>
          <w:rFonts w:ascii="Times New Roman" w:hAnsi="Times New Roman" w:cs="Times New Roman"/>
        </w:rPr>
        <w:t>Hörnle</w:t>
      </w:r>
      <w:proofErr w:type="spellEnd"/>
      <w:r w:rsidR="004C0BD1">
        <w:rPr>
          <w:rFonts w:ascii="Times New Roman" w:hAnsi="Times New Roman" w:cs="Times New Roman"/>
        </w:rPr>
        <w:t>,</w:t>
      </w:r>
      <w:r w:rsidR="004C0BD1" w:rsidRPr="0014083A">
        <w:rPr>
          <w:rFonts w:ascii="Times New Roman" w:hAnsi="Times New Roman" w:cs="Times New Roman"/>
        </w:rPr>
        <w:t xml:space="preserve"> “[t]he relation of procedural law to substantive law is merely auxiliary. We do not invent substantive law to give </w:t>
      </w:r>
      <w:r w:rsidR="004C0BD1" w:rsidRPr="0014083A">
        <w:rPr>
          <w:rFonts w:ascii="Times New Roman" w:hAnsi="Times New Roman" w:cs="Times New Roman"/>
        </w:rPr>
        <w:lastRenderedPageBreak/>
        <w:t>content</w:t>
      </w:r>
      <w:r w:rsidR="004C0BD1" w:rsidRPr="0014083A">
        <w:rPr>
          <w:rFonts w:ascii="Times New Roman" w:hAnsi="Times New Roman" w:cs="Times New Roman"/>
          <w:rtl/>
        </w:rPr>
        <w:t xml:space="preserve"> </w:t>
      </w:r>
      <w:r w:rsidR="004C0BD1" w:rsidRPr="0014083A">
        <w:rPr>
          <w:rFonts w:ascii="Times New Roman" w:hAnsi="Times New Roman" w:cs="Times New Roman"/>
        </w:rPr>
        <w:t>to trials—rather, the sequence works the other way: criminal procedure serves to maintain the norms embodied in the substantive law.”</w:t>
      </w:r>
      <w:r w:rsidR="004C0BD1" w:rsidRPr="0014083A">
        <w:rPr>
          <w:rStyle w:val="FootnoteReference"/>
          <w:rFonts w:ascii="Times New Roman" w:hAnsi="Times New Roman"/>
        </w:rPr>
        <w:footnoteReference w:id="40"/>
      </w:r>
      <w:r w:rsidR="000B073B">
        <w:rPr>
          <w:rFonts w:ascii="Times New Roman" w:hAnsi="Times New Roman" w:cs="Times New Roman"/>
        </w:rPr>
        <w:t xml:space="preserve"> </w:t>
      </w:r>
      <w:r w:rsidR="00BF0F5B">
        <w:rPr>
          <w:rFonts w:ascii="Times New Roman" w:hAnsi="Times New Roman" w:cs="Times New Roman"/>
        </w:rPr>
        <w:t xml:space="preserve">Scholars who dealt with the evidentiary nature of substantive criminal law </w:t>
      </w:r>
      <w:r w:rsidR="00FC3217">
        <w:rPr>
          <w:rFonts w:ascii="Times New Roman" w:hAnsi="Times New Roman" w:cs="Times New Roman"/>
        </w:rPr>
        <w:t xml:space="preserve">did so by simply </w:t>
      </w:r>
      <w:r w:rsidR="00BF0F5B">
        <w:rPr>
          <w:rFonts w:ascii="Times New Roman" w:hAnsi="Times New Roman" w:cs="Times New Roman"/>
        </w:rPr>
        <w:t>acknowledg</w:t>
      </w:r>
      <w:r w:rsidR="00FC3217">
        <w:rPr>
          <w:rFonts w:ascii="Times New Roman" w:hAnsi="Times New Roman" w:cs="Times New Roman"/>
        </w:rPr>
        <w:t>ing</w:t>
      </w:r>
      <w:r w:rsidR="00BF0F5B">
        <w:rPr>
          <w:rFonts w:ascii="Times New Roman" w:hAnsi="Times New Roman" w:cs="Times New Roman"/>
        </w:rPr>
        <w:t xml:space="preserve"> that the definition of the elements of a crime may rest on evidentiary concerns</w:t>
      </w:r>
      <w:r w:rsidR="00FC3217">
        <w:rPr>
          <w:rFonts w:ascii="Times New Roman" w:hAnsi="Times New Roman" w:cs="Times New Roman"/>
        </w:rPr>
        <w:t xml:space="preserve">. These scholars have </w:t>
      </w:r>
      <w:r w:rsidR="00BF0F5B">
        <w:rPr>
          <w:rFonts w:ascii="Times New Roman" w:hAnsi="Times New Roman" w:cs="Times New Roman"/>
        </w:rPr>
        <w:t xml:space="preserve">not incorporated this insight into a theory of distributing punishments. </w:t>
      </w:r>
      <w:r w:rsidR="000B073B">
        <w:rPr>
          <w:rFonts w:ascii="Times New Roman" w:hAnsi="Times New Roman" w:cs="Times New Roman"/>
        </w:rPr>
        <w:t xml:space="preserve"> </w:t>
      </w:r>
    </w:p>
    <w:p w14:paraId="6CC27498" w14:textId="29810E4B" w:rsidR="00AF3030" w:rsidRPr="009D6AF0" w:rsidRDefault="00AF3030" w:rsidP="00D90411">
      <w:pPr>
        <w:pStyle w:val="ListParagraph"/>
        <w:numPr>
          <w:ilvl w:val="0"/>
          <w:numId w:val="16"/>
        </w:numPr>
        <w:bidi w:val="0"/>
        <w:jc w:val="both"/>
        <w:rPr>
          <w:rFonts w:ascii="Times New Roman" w:hAnsi="Times New Roman" w:cs="Times New Roman"/>
          <w:i/>
          <w:iCs/>
        </w:rPr>
      </w:pPr>
      <w:r>
        <w:rPr>
          <w:rFonts w:ascii="Times New Roman" w:hAnsi="Times New Roman" w:cs="Times New Roman"/>
          <w:i/>
          <w:iCs/>
        </w:rPr>
        <w:t>Error Tradeoffs</w:t>
      </w:r>
      <w:r w:rsidRPr="009D6AF0">
        <w:rPr>
          <w:rFonts w:ascii="Times New Roman" w:hAnsi="Times New Roman" w:cs="Times New Roman"/>
          <w:i/>
          <w:iCs/>
        </w:rPr>
        <w:t xml:space="preserve"> and the Criminal Process</w:t>
      </w:r>
    </w:p>
    <w:p w14:paraId="7AFFD131" w14:textId="0716F805" w:rsidR="00AF3030" w:rsidRPr="0014083A" w:rsidRDefault="000C327B" w:rsidP="000C327B">
      <w:pPr>
        <w:bidi w:val="0"/>
        <w:ind w:firstLine="720"/>
        <w:jc w:val="both"/>
        <w:rPr>
          <w:rFonts w:ascii="Times New Roman" w:hAnsi="Times New Roman" w:cs="Times New Roman"/>
        </w:rPr>
      </w:pPr>
      <w:r>
        <w:rPr>
          <w:rFonts w:ascii="Times New Roman" w:hAnsi="Times New Roman" w:cs="Times New Roman"/>
        </w:rPr>
        <w:t>A second body of work this Article builds upon is the literature on error tradeoffs in criminal trials. A criminal trial can lead to two types of errors.</w:t>
      </w:r>
      <w:r w:rsidR="00AF3030" w:rsidRPr="0014083A">
        <w:rPr>
          <w:rFonts w:ascii="Times New Roman" w:hAnsi="Times New Roman" w:cs="Times New Roman"/>
        </w:rPr>
        <w:t xml:space="preserve"> The first error, often referred to as a type 1 error or a false </w:t>
      </w:r>
      <w:proofErr w:type="gramStart"/>
      <w:r w:rsidR="00AF3030" w:rsidRPr="0014083A">
        <w:rPr>
          <w:rFonts w:ascii="Times New Roman" w:hAnsi="Times New Roman" w:cs="Times New Roman"/>
        </w:rPr>
        <w:t>positive,</w:t>
      </w:r>
      <w:proofErr w:type="gramEnd"/>
      <w:r w:rsidR="00AF3030" w:rsidRPr="0014083A">
        <w:rPr>
          <w:rFonts w:ascii="Times New Roman" w:hAnsi="Times New Roman" w:cs="Times New Roman"/>
        </w:rPr>
        <w:t xml:space="preserve"> alludes to wrongful convictions. In such cases</w:t>
      </w:r>
      <w:r w:rsidR="00AF3030">
        <w:rPr>
          <w:rFonts w:ascii="Times New Roman" w:hAnsi="Times New Roman" w:cs="Times New Roman"/>
        </w:rPr>
        <w:t>,</w:t>
      </w:r>
      <w:r w:rsidR="00AF3030" w:rsidRPr="0014083A">
        <w:rPr>
          <w:rFonts w:ascii="Times New Roman" w:hAnsi="Times New Roman" w:cs="Times New Roman"/>
        </w:rPr>
        <w:t xml:space="preserve"> individuals who do not deserve to </w:t>
      </w:r>
      <w:proofErr w:type="gramStart"/>
      <w:r w:rsidR="00AF3030" w:rsidRPr="0014083A">
        <w:rPr>
          <w:rFonts w:ascii="Times New Roman" w:hAnsi="Times New Roman" w:cs="Times New Roman"/>
        </w:rPr>
        <w:t>be punished</w:t>
      </w:r>
      <w:proofErr w:type="gramEnd"/>
      <w:r w:rsidR="00AF3030" w:rsidRPr="0014083A">
        <w:rPr>
          <w:rFonts w:ascii="Times New Roman" w:hAnsi="Times New Roman" w:cs="Times New Roman"/>
        </w:rPr>
        <w:t xml:space="preserve"> are nonetheless punished because of a mistaken determination by the criminal justice system. The second error, often referred to as a type 2 error or a false </w:t>
      </w:r>
      <w:proofErr w:type="gramStart"/>
      <w:r w:rsidR="00AF3030" w:rsidRPr="0014083A">
        <w:rPr>
          <w:rFonts w:ascii="Times New Roman" w:hAnsi="Times New Roman" w:cs="Times New Roman"/>
        </w:rPr>
        <w:t>negative,</w:t>
      </w:r>
      <w:proofErr w:type="gramEnd"/>
      <w:r w:rsidR="00AF3030" w:rsidRPr="0014083A">
        <w:rPr>
          <w:rFonts w:ascii="Times New Roman" w:hAnsi="Times New Roman" w:cs="Times New Roman"/>
        </w:rPr>
        <w:t xml:space="preserve"> alludes to wrongful acquittals. In such cases</w:t>
      </w:r>
      <w:r w:rsidR="00AF3030">
        <w:rPr>
          <w:rFonts w:ascii="Times New Roman" w:hAnsi="Times New Roman" w:cs="Times New Roman"/>
        </w:rPr>
        <w:t>,</w:t>
      </w:r>
      <w:r w:rsidR="00AF3030" w:rsidRPr="0014083A">
        <w:rPr>
          <w:rFonts w:ascii="Times New Roman" w:hAnsi="Times New Roman" w:cs="Times New Roman"/>
        </w:rPr>
        <w:t xml:space="preserve"> individuals who deserve to </w:t>
      </w:r>
      <w:proofErr w:type="gramStart"/>
      <w:r w:rsidR="00AF3030" w:rsidRPr="0014083A">
        <w:rPr>
          <w:rFonts w:ascii="Times New Roman" w:hAnsi="Times New Roman" w:cs="Times New Roman"/>
        </w:rPr>
        <w:t>be punished</w:t>
      </w:r>
      <w:proofErr w:type="gramEnd"/>
      <w:r w:rsidR="00AF3030" w:rsidRPr="0014083A">
        <w:rPr>
          <w:rFonts w:ascii="Times New Roman" w:hAnsi="Times New Roman" w:cs="Times New Roman"/>
        </w:rPr>
        <w:t xml:space="preserve"> are not punished because the criminal justice system determines that they are not guilty.</w:t>
      </w:r>
    </w:p>
    <w:p w14:paraId="43094D3F" w14:textId="3531B536" w:rsidR="00AF3030" w:rsidRPr="00B666C1" w:rsidRDefault="00564454" w:rsidP="00564454">
      <w:pPr>
        <w:bidi w:val="0"/>
        <w:ind w:firstLine="720"/>
        <w:jc w:val="both"/>
        <w:rPr>
          <w:rFonts w:ascii="Times New Roman" w:hAnsi="Times New Roman" w:cs="Times New Roman"/>
        </w:rPr>
      </w:pPr>
      <w:r>
        <w:rPr>
          <w:rFonts w:ascii="Times New Roman" w:hAnsi="Times New Roman" w:cs="Times New Roman"/>
        </w:rPr>
        <w:t>According to the prevailing view, t</w:t>
      </w:r>
      <w:r w:rsidR="00AF3030" w:rsidRPr="0014083A">
        <w:rPr>
          <w:rFonts w:ascii="Times New Roman" w:hAnsi="Times New Roman" w:cs="Times New Roman"/>
        </w:rPr>
        <w:t>he burden of proof is the main policy tool through which the legal system strikes a balance between type 1 and type 2 errors.</w:t>
      </w:r>
      <w:r w:rsidR="00AF3030" w:rsidRPr="0014083A">
        <w:rPr>
          <w:rStyle w:val="FootnoteReference"/>
          <w:rFonts w:ascii="Times New Roman" w:hAnsi="Times New Roman"/>
        </w:rPr>
        <w:footnoteReference w:id="41"/>
      </w:r>
      <w:r w:rsidR="00AF3030" w:rsidRPr="0014083A">
        <w:rPr>
          <w:rFonts w:ascii="Times New Roman" w:hAnsi="Times New Roman" w:cs="Times New Roman"/>
        </w:rPr>
        <w:t xml:space="preserve"> It reflects the minimal threshold the prosecution must meet to convince the trier of fact to determine that a conviction </w:t>
      </w:r>
      <w:proofErr w:type="gramStart"/>
      <w:r w:rsidR="00AF3030" w:rsidRPr="0014083A">
        <w:rPr>
          <w:rFonts w:ascii="Times New Roman" w:hAnsi="Times New Roman" w:cs="Times New Roman"/>
        </w:rPr>
        <w:t>is merited</w:t>
      </w:r>
      <w:proofErr w:type="gramEnd"/>
      <w:r w:rsidR="00AF3030" w:rsidRPr="0014083A">
        <w:rPr>
          <w:rFonts w:ascii="Times New Roman" w:hAnsi="Times New Roman" w:cs="Times New Roman"/>
        </w:rPr>
        <w:t>. When the burden is elevated, it becomes more difficult to obtain a conviction</w:t>
      </w:r>
      <w:r w:rsidR="00AF3030">
        <w:rPr>
          <w:rFonts w:ascii="Times New Roman" w:hAnsi="Times New Roman" w:cs="Times New Roman"/>
        </w:rPr>
        <w:t xml:space="preserve"> because</w:t>
      </w:r>
      <w:r w:rsidR="00AF3030" w:rsidRPr="0014083A">
        <w:rPr>
          <w:rFonts w:ascii="Times New Roman" w:hAnsi="Times New Roman" w:cs="Times New Roman"/>
        </w:rPr>
        <w:t xml:space="preserve"> more evidence </w:t>
      </w:r>
      <w:proofErr w:type="gramStart"/>
      <w:r w:rsidR="00AF3030" w:rsidRPr="0014083A">
        <w:rPr>
          <w:rFonts w:ascii="Times New Roman" w:hAnsi="Times New Roman" w:cs="Times New Roman"/>
        </w:rPr>
        <w:t>must be presented</w:t>
      </w:r>
      <w:proofErr w:type="gramEnd"/>
      <w:r w:rsidR="00AF3030" w:rsidRPr="0014083A">
        <w:rPr>
          <w:rFonts w:ascii="Times New Roman" w:hAnsi="Times New Roman" w:cs="Times New Roman"/>
        </w:rPr>
        <w:t xml:space="preserve"> to cross the conviction threshold. As a result, the </w:t>
      </w:r>
      <w:r w:rsidR="00AF3030">
        <w:rPr>
          <w:rFonts w:ascii="Times New Roman" w:hAnsi="Times New Roman" w:cs="Times New Roman"/>
        </w:rPr>
        <w:t>number</w:t>
      </w:r>
      <w:r w:rsidR="00AF3030" w:rsidRPr="0014083A">
        <w:rPr>
          <w:rFonts w:ascii="Times New Roman" w:hAnsi="Times New Roman" w:cs="Times New Roman"/>
        </w:rPr>
        <w:t xml:space="preserve"> of false convictions falls, while the </w:t>
      </w:r>
      <w:r w:rsidR="00AF3030">
        <w:rPr>
          <w:rFonts w:ascii="Times New Roman" w:hAnsi="Times New Roman" w:cs="Times New Roman"/>
        </w:rPr>
        <w:t>number</w:t>
      </w:r>
      <w:r w:rsidR="00AF3030" w:rsidRPr="0014083A">
        <w:rPr>
          <w:rFonts w:ascii="Times New Roman" w:hAnsi="Times New Roman" w:cs="Times New Roman"/>
        </w:rPr>
        <w:t xml:space="preserve"> of wrongful acquittals rises.</w:t>
      </w:r>
      <w:r w:rsidR="00AF3030">
        <w:rPr>
          <w:rFonts w:ascii="Times New Roman" w:hAnsi="Times New Roman" w:cs="Times New Roman"/>
        </w:rPr>
        <w:t xml:space="preserve"> It is no surprise that the burden of proof </w:t>
      </w:r>
      <w:proofErr w:type="gramStart"/>
      <w:r w:rsidR="00AF3030">
        <w:rPr>
          <w:rFonts w:ascii="Times New Roman" w:hAnsi="Times New Roman" w:cs="Times New Roman"/>
        </w:rPr>
        <w:t>has been described</w:t>
      </w:r>
      <w:proofErr w:type="gramEnd"/>
      <w:r w:rsidR="00AF3030">
        <w:rPr>
          <w:rFonts w:ascii="Times New Roman" w:hAnsi="Times New Roman" w:cs="Times New Roman"/>
        </w:rPr>
        <w:t xml:space="preserve"> as the most important element of trial.</w:t>
      </w:r>
      <w:bookmarkStart w:id="13" w:name="_Ref428397425"/>
      <w:r w:rsidR="00AF3030">
        <w:rPr>
          <w:rStyle w:val="FootnoteReference"/>
          <w:rFonts w:ascii="Times New Roman" w:hAnsi="Times New Roman"/>
        </w:rPr>
        <w:footnoteReference w:id="42"/>
      </w:r>
      <w:bookmarkEnd w:id="13"/>
    </w:p>
    <w:p w14:paraId="56E53AE2" w14:textId="77777777" w:rsidR="00AF3030" w:rsidRPr="0014083A" w:rsidRDefault="00AF3030" w:rsidP="00AF3030">
      <w:pPr>
        <w:bidi w:val="0"/>
        <w:ind w:firstLine="720"/>
        <w:jc w:val="both"/>
        <w:rPr>
          <w:rFonts w:ascii="Times New Roman" w:hAnsi="Times New Roman" w:cs="Times New Roman"/>
        </w:rPr>
      </w:pPr>
      <w:r w:rsidRPr="0014083A">
        <w:rPr>
          <w:rFonts w:ascii="Times New Roman" w:hAnsi="Times New Roman" w:cs="Times New Roman"/>
        </w:rPr>
        <w:t>The governing burden of proof in criminal cases in common law jurisdictions is the beyond a reasonable doubt standard.</w:t>
      </w:r>
      <w:bookmarkStart w:id="14" w:name="_Ref432024489"/>
      <w:r w:rsidRPr="0014083A">
        <w:rPr>
          <w:rStyle w:val="FootnoteReference"/>
          <w:rFonts w:ascii="Times New Roman" w:hAnsi="Times New Roman"/>
        </w:rPr>
        <w:footnoteReference w:id="43"/>
      </w:r>
      <w:bookmarkEnd w:id="14"/>
      <w:r w:rsidRPr="0014083A">
        <w:rPr>
          <w:rFonts w:ascii="Times New Roman" w:hAnsi="Times New Roman" w:cs="Times New Roman"/>
        </w:rPr>
        <w:t xml:space="preserve"> </w:t>
      </w:r>
      <w:r>
        <w:rPr>
          <w:rFonts w:ascii="Times New Roman" w:hAnsi="Times New Roman" w:cs="Times New Roman"/>
        </w:rPr>
        <w:t>S</w:t>
      </w:r>
      <w:r w:rsidRPr="0014083A">
        <w:rPr>
          <w:rFonts w:ascii="Times New Roman" w:hAnsi="Times New Roman" w:cs="Times New Roman"/>
        </w:rPr>
        <w:t xml:space="preserve">ignificant intellectual effort </w:t>
      </w:r>
      <w:proofErr w:type="gramStart"/>
      <w:r w:rsidRPr="0014083A">
        <w:rPr>
          <w:rFonts w:ascii="Times New Roman" w:hAnsi="Times New Roman" w:cs="Times New Roman"/>
        </w:rPr>
        <w:t>has been dedicated</w:t>
      </w:r>
      <w:proofErr w:type="gramEnd"/>
      <w:r w:rsidRPr="0014083A">
        <w:rPr>
          <w:rFonts w:ascii="Times New Roman" w:hAnsi="Times New Roman" w:cs="Times New Roman"/>
        </w:rPr>
        <w:t xml:space="preserve"> to the question </w:t>
      </w:r>
      <w:r>
        <w:rPr>
          <w:rFonts w:ascii="Times New Roman" w:hAnsi="Times New Roman" w:cs="Times New Roman"/>
        </w:rPr>
        <w:t xml:space="preserve">of </w:t>
      </w:r>
      <w:r w:rsidRPr="0014083A">
        <w:rPr>
          <w:rFonts w:ascii="Times New Roman" w:hAnsi="Times New Roman" w:cs="Times New Roman"/>
        </w:rPr>
        <w:t>what the standard actually mean</w:t>
      </w:r>
      <w:r>
        <w:rPr>
          <w:rFonts w:ascii="Times New Roman" w:hAnsi="Times New Roman" w:cs="Times New Roman"/>
        </w:rPr>
        <w:t>s</w:t>
      </w:r>
      <w:r w:rsidRPr="0014083A">
        <w:rPr>
          <w:rFonts w:ascii="Times New Roman" w:hAnsi="Times New Roman" w:cs="Times New Roman"/>
        </w:rPr>
        <w:t>.</w:t>
      </w:r>
      <w:r w:rsidRPr="0014083A">
        <w:rPr>
          <w:rStyle w:val="FootnoteReference"/>
          <w:rFonts w:ascii="Times New Roman" w:hAnsi="Times New Roman"/>
        </w:rPr>
        <w:footnoteReference w:id="44"/>
      </w:r>
      <w:r w:rsidRPr="0014083A">
        <w:rPr>
          <w:rStyle w:val="FootnoteReference"/>
          <w:rFonts w:ascii="Times New Roman" w:hAnsi="Times New Roman"/>
        </w:rPr>
        <w:t xml:space="preserve"> </w:t>
      </w:r>
      <w:r w:rsidRPr="0014083A">
        <w:rPr>
          <w:rFonts w:ascii="Times New Roman" w:hAnsi="Times New Roman" w:cs="Times New Roman"/>
        </w:rPr>
        <w:t>Scholars have employed different methodologies to present a numeric quantification of the burden.</w:t>
      </w:r>
      <w:bookmarkStart w:id="15" w:name="_Ref441407563"/>
      <w:r w:rsidRPr="0014083A">
        <w:rPr>
          <w:rStyle w:val="FootnoteReference"/>
          <w:rFonts w:ascii="Times New Roman" w:hAnsi="Times New Roman"/>
        </w:rPr>
        <w:footnoteReference w:id="45"/>
      </w:r>
      <w:bookmarkEnd w:id="15"/>
      <w:r w:rsidRPr="0014083A">
        <w:rPr>
          <w:rFonts w:ascii="Times New Roman" w:hAnsi="Times New Roman" w:cs="Times New Roman"/>
        </w:rPr>
        <w:t xml:space="preserve"> </w:t>
      </w:r>
      <w:r>
        <w:rPr>
          <w:rFonts w:ascii="Times New Roman" w:hAnsi="Times New Roman" w:cs="Times New Roman"/>
        </w:rPr>
        <w:t>Ultimately</w:t>
      </w:r>
      <w:r w:rsidRPr="0014083A">
        <w:rPr>
          <w:rFonts w:ascii="Times New Roman" w:hAnsi="Times New Roman" w:cs="Times New Roman"/>
        </w:rPr>
        <w:t xml:space="preserve">, however, factfinders </w:t>
      </w:r>
      <w:proofErr w:type="gramStart"/>
      <w:r w:rsidRPr="0014083A">
        <w:rPr>
          <w:rFonts w:ascii="Times New Roman" w:hAnsi="Times New Roman" w:cs="Times New Roman"/>
        </w:rPr>
        <w:t>are still left</w:t>
      </w:r>
      <w:proofErr w:type="gramEnd"/>
      <w:r w:rsidRPr="0014083A">
        <w:rPr>
          <w:rFonts w:ascii="Times New Roman" w:hAnsi="Times New Roman" w:cs="Times New Roman"/>
        </w:rPr>
        <w:t xml:space="preserve"> with open-ended broad definitions that attempt to reflect the elevated burden associated with the standard. </w:t>
      </w:r>
      <w:r>
        <w:rPr>
          <w:rFonts w:ascii="Times New Roman" w:hAnsi="Times New Roman" w:cs="Times New Roman"/>
        </w:rPr>
        <w:t>F</w:t>
      </w:r>
      <w:r w:rsidRPr="00CF707C">
        <w:rPr>
          <w:rFonts w:ascii="Times New Roman" w:hAnsi="Times New Roman" w:cs="Times New Roman"/>
        </w:rPr>
        <w:t>or instance</w:t>
      </w:r>
      <w:r>
        <w:rPr>
          <w:rFonts w:ascii="Times New Roman" w:hAnsi="Times New Roman" w:cs="Times New Roman"/>
        </w:rPr>
        <w:t>, t</w:t>
      </w:r>
      <w:r w:rsidRPr="0014083A">
        <w:rPr>
          <w:rFonts w:ascii="Times New Roman" w:hAnsi="Times New Roman" w:cs="Times New Roman"/>
        </w:rPr>
        <w:t xml:space="preserve">he Federal Pattern Criminal Jury Instructions </w:t>
      </w:r>
      <w:proofErr w:type="gramStart"/>
      <w:r w:rsidRPr="0014083A">
        <w:rPr>
          <w:rFonts w:ascii="Times New Roman" w:hAnsi="Times New Roman" w:cs="Times New Roman"/>
        </w:rPr>
        <w:t>state that</w:t>
      </w:r>
      <w:proofErr w:type="gramEnd"/>
      <w:r w:rsidRPr="0014083A">
        <w:rPr>
          <w:rFonts w:ascii="Times New Roman" w:hAnsi="Times New Roman" w:cs="Times New Roman"/>
        </w:rPr>
        <w:t xml:space="preserve"> “[p]roof beyond a reasonable doubt is proof that leaves you firmly convinced of the </w:t>
      </w:r>
      <w:r w:rsidRPr="0014083A">
        <w:rPr>
          <w:rFonts w:ascii="Times New Roman" w:hAnsi="Times New Roman" w:cs="Times New Roman"/>
        </w:rPr>
        <w:lastRenderedPageBreak/>
        <w:t>defendant</w:t>
      </w:r>
      <w:r>
        <w:rPr>
          <w:rFonts w:ascii="Times New Roman" w:hAnsi="Times New Roman" w:cs="Times New Roman"/>
        </w:rPr>
        <w:t>’</w:t>
      </w:r>
      <w:r w:rsidRPr="0014083A">
        <w:rPr>
          <w:rFonts w:ascii="Times New Roman" w:hAnsi="Times New Roman" w:cs="Times New Roman"/>
        </w:rPr>
        <w:t>s guilt.”</w:t>
      </w:r>
      <w:r w:rsidRPr="0014083A">
        <w:rPr>
          <w:rStyle w:val="FootnoteReference"/>
          <w:rFonts w:ascii="Times New Roman" w:hAnsi="Times New Roman"/>
        </w:rPr>
        <w:footnoteReference w:id="46"/>
      </w:r>
      <w:r w:rsidRPr="0014083A">
        <w:rPr>
          <w:rFonts w:ascii="Times New Roman" w:hAnsi="Times New Roman" w:cs="Times New Roman"/>
        </w:rPr>
        <w:t xml:space="preserve"> </w:t>
      </w:r>
      <w:r>
        <w:rPr>
          <w:rFonts w:ascii="Times New Roman" w:hAnsi="Times New Roman" w:cs="Times New Roman"/>
        </w:rPr>
        <w:t>Notwithstanding the vagueness of such definitions, it is clear that the standard sets a very high threshold for convictions.</w:t>
      </w:r>
    </w:p>
    <w:p w14:paraId="3310D781" w14:textId="77777777" w:rsidR="00AF3030" w:rsidRDefault="00AF3030" w:rsidP="00AF3030">
      <w:pPr>
        <w:bidi w:val="0"/>
        <w:ind w:firstLine="720"/>
        <w:jc w:val="both"/>
        <w:rPr>
          <w:rFonts w:ascii="Times New Roman" w:hAnsi="Times New Roman" w:cs="Times New Roman"/>
        </w:rPr>
      </w:pPr>
      <w:r w:rsidRPr="0014083A">
        <w:rPr>
          <w:rFonts w:ascii="Times New Roman" w:hAnsi="Times New Roman" w:cs="Times New Roman"/>
        </w:rPr>
        <w:t xml:space="preserve">While the specific contours of </w:t>
      </w:r>
      <w:r>
        <w:rPr>
          <w:rFonts w:ascii="Times New Roman" w:hAnsi="Times New Roman" w:cs="Times New Roman"/>
        </w:rPr>
        <w:t xml:space="preserve">the </w:t>
      </w:r>
      <w:r w:rsidRPr="0014083A">
        <w:rPr>
          <w:rFonts w:ascii="Times New Roman" w:hAnsi="Times New Roman" w:cs="Times New Roman"/>
        </w:rPr>
        <w:t xml:space="preserve">reasonable doubt </w:t>
      </w:r>
      <w:r>
        <w:rPr>
          <w:rFonts w:ascii="Times New Roman" w:hAnsi="Times New Roman" w:cs="Times New Roman"/>
        </w:rPr>
        <w:t xml:space="preserve">standard </w:t>
      </w:r>
      <w:r w:rsidRPr="0014083A">
        <w:rPr>
          <w:rFonts w:ascii="Times New Roman" w:hAnsi="Times New Roman" w:cs="Times New Roman"/>
        </w:rPr>
        <w:t xml:space="preserve">might be elusive, it is </w:t>
      </w:r>
      <w:r>
        <w:rPr>
          <w:rFonts w:ascii="Times New Roman" w:hAnsi="Times New Roman" w:cs="Times New Roman"/>
        </w:rPr>
        <w:t>undisputed</w:t>
      </w:r>
      <w:r w:rsidRPr="0014083A">
        <w:rPr>
          <w:rFonts w:ascii="Times New Roman" w:hAnsi="Times New Roman" w:cs="Times New Roman"/>
        </w:rPr>
        <w:t xml:space="preserve"> that </w:t>
      </w:r>
      <w:r>
        <w:rPr>
          <w:rFonts w:ascii="Times New Roman" w:hAnsi="Times New Roman" w:cs="Times New Roman"/>
        </w:rPr>
        <w:t>it is</w:t>
      </w:r>
      <w:r w:rsidRPr="0014083A">
        <w:rPr>
          <w:rFonts w:ascii="Times New Roman" w:hAnsi="Times New Roman" w:cs="Times New Roman"/>
        </w:rPr>
        <w:t xml:space="preserve"> enshrined as a core feature of criminal </w:t>
      </w:r>
      <w:r>
        <w:rPr>
          <w:rFonts w:ascii="Times New Roman" w:hAnsi="Times New Roman" w:cs="Times New Roman"/>
        </w:rPr>
        <w:t>trials</w:t>
      </w:r>
      <w:r w:rsidRPr="0014083A">
        <w:rPr>
          <w:rFonts w:ascii="Times New Roman" w:hAnsi="Times New Roman" w:cs="Times New Roman"/>
        </w:rPr>
        <w:t xml:space="preserve">. </w:t>
      </w:r>
      <w:r>
        <w:rPr>
          <w:rFonts w:ascii="Times New Roman" w:hAnsi="Times New Roman" w:cs="Times New Roman"/>
        </w:rPr>
        <w:t>In the United States, t</w:t>
      </w:r>
      <w:r w:rsidRPr="0014083A">
        <w:rPr>
          <w:rFonts w:ascii="Times New Roman" w:hAnsi="Times New Roman" w:cs="Times New Roman"/>
        </w:rPr>
        <w:t xml:space="preserve">he </w:t>
      </w:r>
      <w:r>
        <w:rPr>
          <w:rFonts w:ascii="Times New Roman" w:hAnsi="Times New Roman" w:cs="Times New Roman"/>
        </w:rPr>
        <w:t xml:space="preserve">standard </w:t>
      </w:r>
      <w:proofErr w:type="gramStart"/>
      <w:r>
        <w:rPr>
          <w:rFonts w:ascii="Times New Roman" w:hAnsi="Times New Roman" w:cs="Times New Roman"/>
        </w:rPr>
        <w:t>is viewed</w:t>
      </w:r>
      <w:proofErr w:type="gramEnd"/>
      <w:r>
        <w:rPr>
          <w:rFonts w:ascii="Times New Roman" w:hAnsi="Times New Roman" w:cs="Times New Roman"/>
        </w:rPr>
        <w:t xml:space="preserve"> </w:t>
      </w:r>
      <w:r w:rsidRPr="0014083A">
        <w:rPr>
          <w:rFonts w:ascii="Times New Roman" w:hAnsi="Times New Roman" w:cs="Times New Roman"/>
        </w:rPr>
        <w:t xml:space="preserve">as part of the constitutional framework that is geared towards protecting </w:t>
      </w:r>
      <w:r>
        <w:rPr>
          <w:rFonts w:ascii="Times New Roman" w:hAnsi="Times New Roman" w:cs="Times New Roman"/>
        </w:rPr>
        <w:t xml:space="preserve">innocent </w:t>
      </w:r>
      <w:r w:rsidRPr="0014083A">
        <w:rPr>
          <w:rFonts w:ascii="Times New Roman" w:hAnsi="Times New Roman" w:cs="Times New Roman"/>
        </w:rPr>
        <w:t>defendants</w:t>
      </w:r>
      <w:r>
        <w:rPr>
          <w:rFonts w:ascii="Times New Roman" w:hAnsi="Times New Roman" w:cs="Times New Roman"/>
        </w:rPr>
        <w:t xml:space="preserve"> from erroneous convictions</w:t>
      </w:r>
      <w:r w:rsidRPr="0014083A">
        <w:rPr>
          <w:rFonts w:ascii="Times New Roman" w:hAnsi="Times New Roman" w:cs="Times New Roman"/>
        </w:rPr>
        <w:t>.</w:t>
      </w:r>
      <w:bookmarkStart w:id="16" w:name="_Ref428271186"/>
      <w:r w:rsidRPr="0014083A">
        <w:rPr>
          <w:rStyle w:val="FootnoteReference"/>
          <w:rFonts w:ascii="Times New Roman" w:hAnsi="Times New Roman"/>
        </w:rPr>
        <w:footnoteReference w:id="47"/>
      </w:r>
      <w:bookmarkEnd w:id="16"/>
      <w:r w:rsidRPr="0014083A">
        <w:rPr>
          <w:rFonts w:ascii="Times New Roman" w:hAnsi="Times New Roman" w:cs="Times New Roman"/>
        </w:rPr>
        <w:t xml:space="preserve"> </w:t>
      </w:r>
      <w:r>
        <w:rPr>
          <w:rFonts w:ascii="Times New Roman" w:hAnsi="Times New Roman" w:cs="Times New Roman"/>
        </w:rPr>
        <w:t>As the Supreme Court noted, it is “</w:t>
      </w:r>
      <w:r w:rsidRPr="00311874">
        <w:rPr>
          <w:rFonts w:ascii="Times New Roman" w:hAnsi="Times New Roman" w:cs="Times New Roman"/>
        </w:rPr>
        <w:t>important in our free society that every individual going about his ordinary affairs have confidence that his government cannot adjudge him guilty of a criminal offense without convincing a proper factfinder of his guilt with utmost certainty.</w:t>
      </w:r>
      <w:r>
        <w:rPr>
          <w:rFonts w:ascii="Times New Roman" w:hAnsi="Times New Roman" w:cs="Times New Roman"/>
        </w:rPr>
        <w:t>”</w:t>
      </w:r>
      <w:r w:rsidRPr="0014083A">
        <w:rPr>
          <w:rStyle w:val="FootnoteReference"/>
          <w:rFonts w:ascii="Times New Roman" w:hAnsi="Times New Roman"/>
        </w:rPr>
        <w:footnoteReference w:id="48"/>
      </w:r>
      <w:r>
        <w:rPr>
          <w:rFonts w:ascii="Times New Roman" w:hAnsi="Times New Roman" w:cs="Times New Roman"/>
        </w:rPr>
        <w:t xml:space="preserve"> </w:t>
      </w:r>
      <w:r w:rsidRPr="0014083A">
        <w:rPr>
          <w:rFonts w:ascii="Times New Roman" w:hAnsi="Times New Roman" w:cs="Times New Roman"/>
        </w:rPr>
        <w:t>Consequently, despite a clear trend of harshening in American criminal jurisprudence,</w:t>
      </w:r>
      <w:r w:rsidRPr="0014083A">
        <w:rPr>
          <w:rStyle w:val="FootnoteReference"/>
          <w:rFonts w:ascii="Times New Roman" w:hAnsi="Times New Roman"/>
        </w:rPr>
        <w:footnoteReference w:id="49"/>
      </w:r>
      <w:r w:rsidRPr="0014083A">
        <w:rPr>
          <w:rFonts w:ascii="Times New Roman" w:hAnsi="Times New Roman" w:cs="Times New Roman"/>
        </w:rPr>
        <w:t xml:space="preserve"> it </w:t>
      </w:r>
      <w:proofErr w:type="gramStart"/>
      <w:r w:rsidRPr="0014083A">
        <w:rPr>
          <w:rFonts w:ascii="Times New Roman" w:hAnsi="Times New Roman" w:cs="Times New Roman"/>
        </w:rPr>
        <w:t>is still routinely assumed</w:t>
      </w:r>
      <w:proofErr w:type="gramEnd"/>
      <w:r w:rsidRPr="0014083A">
        <w:rPr>
          <w:rFonts w:ascii="Times New Roman" w:hAnsi="Times New Roman" w:cs="Times New Roman"/>
        </w:rPr>
        <w:t xml:space="preserve"> that this </w:t>
      </w:r>
      <w:r w:rsidRPr="0059094E">
        <w:rPr>
          <w:rFonts w:ascii="Times New Roman" w:hAnsi="Times New Roman" w:cs="Times New Roman"/>
        </w:rPr>
        <w:t>trend has surpassed</w:t>
      </w:r>
      <w:r w:rsidRPr="0014083A">
        <w:rPr>
          <w:rFonts w:ascii="Times New Roman" w:hAnsi="Times New Roman" w:cs="Times New Roman"/>
        </w:rPr>
        <w:t xml:space="preserve"> the burden of proof and that convictions are reserved only for those whose guilt </w:t>
      </w:r>
      <w:r>
        <w:rPr>
          <w:rFonts w:ascii="Times New Roman" w:hAnsi="Times New Roman" w:cs="Times New Roman"/>
        </w:rPr>
        <w:t>has been</w:t>
      </w:r>
      <w:r w:rsidRPr="0014083A">
        <w:rPr>
          <w:rFonts w:ascii="Times New Roman" w:hAnsi="Times New Roman" w:cs="Times New Roman"/>
        </w:rPr>
        <w:t xml:space="preserve"> proven beyond a reasonable doubt</w:t>
      </w:r>
      <w:r>
        <w:rPr>
          <w:rFonts w:ascii="Times New Roman" w:hAnsi="Times New Roman" w:cs="Times New Roman"/>
        </w:rPr>
        <w:t>.</w:t>
      </w:r>
      <w:bookmarkStart w:id="17" w:name="_Ref432075494"/>
      <w:r w:rsidRPr="0014083A">
        <w:rPr>
          <w:rStyle w:val="FootnoteReference"/>
          <w:rFonts w:ascii="Times New Roman" w:hAnsi="Times New Roman"/>
        </w:rPr>
        <w:footnoteReference w:id="50"/>
      </w:r>
      <w:bookmarkEnd w:id="17"/>
    </w:p>
    <w:p w14:paraId="28283CD1" w14:textId="77777777" w:rsidR="00AF3030" w:rsidRDefault="00AF3030" w:rsidP="00AF3030">
      <w:pPr>
        <w:bidi w:val="0"/>
        <w:ind w:firstLine="720"/>
        <w:jc w:val="both"/>
        <w:rPr>
          <w:rFonts w:ascii="Times New Roman" w:hAnsi="Times New Roman" w:cs="Times New Roman"/>
        </w:rPr>
      </w:pPr>
      <w:r>
        <w:rPr>
          <w:rFonts w:ascii="Times New Roman" w:hAnsi="Times New Roman" w:cs="Times New Roman"/>
        </w:rPr>
        <w:t xml:space="preserve">Historically, one of the main justifications for the beyond reasonable doubt standard builds on the asymmetric costs associated with type 1 and type </w:t>
      </w:r>
      <w:proofErr w:type="gramStart"/>
      <w:r>
        <w:rPr>
          <w:rFonts w:ascii="Times New Roman" w:hAnsi="Times New Roman" w:cs="Times New Roman"/>
        </w:rPr>
        <w:t>2</w:t>
      </w:r>
      <w:proofErr w:type="gramEnd"/>
      <w:r>
        <w:rPr>
          <w:rFonts w:ascii="Times New Roman" w:hAnsi="Times New Roman" w:cs="Times New Roman"/>
        </w:rPr>
        <w:t xml:space="preserve"> errors.</w:t>
      </w:r>
      <w:r w:rsidRPr="0014083A">
        <w:rPr>
          <w:rStyle w:val="FootnoteReference"/>
          <w:rFonts w:ascii="Times New Roman" w:hAnsi="Times New Roman"/>
        </w:rPr>
        <w:footnoteReference w:id="51"/>
      </w:r>
      <w:r>
        <w:rPr>
          <w:rFonts w:ascii="Times New Roman" w:hAnsi="Times New Roman" w:cs="Times New Roman"/>
        </w:rPr>
        <w:t xml:space="preserve"> More specifically, courts and legal scholars presume that given the high cost of false convictions that includes a significant deadweight loss in the form of stigma and loss of freedom, it is better to set the decision threshold such that the risk of type 1 errors will be reduced.</w:t>
      </w:r>
      <w:bookmarkStart w:id="18" w:name="_Ref438724775"/>
      <w:r w:rsidRPr="0014083A">
        <w:rPr>
          <w:rStyle w:val="FootnoteReference"/>
          <w:rFonts w:ascii="Times New Roman" w:hAnsi="Times New Roman"/>
        </w:rPr>
        <w:footnoteReference w:id="52"/>
      </w:r>
      <w:bookmarkEnd w:id="18"/>
      <w:r>
        <w:rPr>
          <w:rFonts w:ascii="Times New Roman" w:hAnsi="Times New Roman" w:cs="Times New Roman"/>
        </w:rPr>
        <w:t xml:space="preserve"> As t</w:t>
      </w:r>
      <w:r w:rsidRPr="001603B2">
        <w:rPr>
          <w:rFonts w:ascii="Times New Roman" w:hAnsi="Times New Roman" w:cs="Times New Roman"/>
        </w:rPr>
        <w:t>he leading treatise on evidence law</w:t>
      </w:r>
      <w:r>
        <w:rPr>
          <w:rFonts w:ascii="Times New Roman" w:hAnsi="Times New Roman" w:cs="Times New Roman"/>
        </w:rPr>
        <w:t xml:space="preserve"> </w:t>
      </w:r>
      <w:r w:rsidRPr="001603B2">
        <w:rPr>
          <w:rFonts w:ascii="Times New Roman" w:hAnsi="Times New Roman" w:cs="Times New Roman"/>
        </w:rPr>
        <w:t xml:space="preserve">states, </w:t>
      </w:r>
      <w:r>
        <w:rPr>
          <w:rFonts w:ascii="Times New Roman" w:hAnsi="Times New Roman" w:cs="Times New Roman"/>
        </w:rPr>
        <w:t>“</w:t>
      </w:r>
      <w:r w:rsidRPr="001603B2">
        <w:rPr>
          <w:rFonts w:ascii="Times New Roman" w:hAnsi="Times New Roman" w:cs="Times New Roman"/>
        </w:rPr>
        <w:t>[s]</w:t>
      </w:r>
      <w:proofErr w:type="spellStart"/>
      <w:r w:rsidRPr="001603B2">
        <w:rPr>
          <w:rFonts w:ascii="Times New Roman" w:hAnsi="Times New Roman" w:cs="Times New Roman"/>
        </w:rPr>
        <w:t>ociety</w:t>
      </w:r>
      <w:proofErr w:type="spellEnd"/>
      <w:r w:rsidRPr="001603B2">
        <w:rPr>
          <w:rFonts w:ascii="Times New Roman" w:hAnsi="Times New Roman" w:cs="Times New Roman"/>
        </w:rPr>
        <w:t xml:space="preserve"> has judged that it is significantly worse </w:t>
      </w:r>
      <w:r>
        <w:rPr>
          <w:rFonts w:ascii="Times New Roman" w:hAnsi="Times New Roman" w:cs="Times New Roman"/>
        </w:rPr>
        <w:t>for</w:t>
      </w:r>
      <w:r w:rsidRPr="001603B2">
        <w:rPr>
          <w:rFonts w:ascii="Times New Roman" w:hAnsi="Times New Roman" w:cs="Times New Roman"/>
        </w:rPr>
        <w:t xml:space="preserve"> an innocent person to be found guilty of a crime than for a guilty person to go free.</w:t>
      </w:r>
      <w:r>
        <w:rPr>
          <w:rFonts w:ascii="Times New Roman" w:hAnsi="Times New Roman" w:cs="Times New Roman"/>
        </w:rPr>
        <w:t>”</w:t>
      </w:r>
      <w:r w:rsidRPr="001603B2">
        <w:rPr>
          <w:rStyle w:val="FootnoteReference"/>
          <w:rFonts w:ascii="Times New Roman" w:hAnsi="Times New Roman"/>
        </w:rPr>
        <w:footnoteReference w:id="53"/>
      </w:r>
      <w:r w:rsidRPr="001603B2">
        <w:rPr>
          <w:rFonts w:ascii="Times New Roman" w:hAnsi="Times New Roman" w:cs="Times New Roman"/>
        </w:rPr>
        <w:t xml:space="preserve"> </w:t>
      </w:r>
      <w:r>
        <w:rPr>
          <w:rFonts w:ascii="Times New Roman" w:hAnsi="Times New Roman" w:cs="Times New Roman"/>
        </w:rPr>
        <w:t xml:space="preserve">This result </w:t>
      </w:r>
      <w:proofErr w:type="gramStart"/>
      <w:r>
        <w:rPr>
          <w:rFonts w:ascii="Times New Roman" w:hAnsi="Times New Roman" w:cs="Times New Roman"/>
        </w:rPr>
        <w:t>is often contrasted</w:t>
      </w:r>
      <w:proofErr w:type="gramEnd"/>
      <w:r>
        <w:rPr>
          <w:rFonts w:ascii="Times New Roman" w:hAnsi="Times New Roman" w:cs="Times New Roman"/>
        </w:rPr>
        <w:t xml:space="preserve"> with the burden of proof in civil litigation, which requires that the plaintiff only prove her case beyond the preponderance of the evidence threshold.</w:t>
      </w:r>
      <w:r>
        <w:rPr>
          <w:rStyle w:val="FootnoteReference"/>
          <w:rFonts w:ascii="Times New Roman" w:hAnsi="Times New Roman"/>
        </w:rPr>
        <w:footnoteReference w:id="54"/>
      </w:r>
      <w:r>
        <w:rPr>
          <w:rFonts w:ascii="Times New Roman" w:hAnsi="Times New Roman" w:cs="Times New Roman"/>
        </w:rPr>
        <w:t xml:space="preserve"> According to the error–cost minimization framework, when the only thing on the table is the transfer of money from one party to the other, adopting the preponderance rule will minimize the error costs associated with allocating money to the wrong party.</w:t>
      </w:r>
      <w:bookmarkStart w:id="19" w:name="_Ref430693944"/>
      <w:r>
        <w:rPr>
          <w:rStyle w:val="FootnoteReference"/>
          <w:rFonts w:ascii="Times New Roman" w:hAnsi="Times New Roman"/>
        </w:rPr>
        <w:footnoteReference w:id="55"/>
      </w:r>
      <w:bookmarkEnd w:id="19"/>
      <w:r>
        <w:rPr>
          <w:rFonts w:ascii="Times New Roman" w:hAnsi="Times New Roman" w:cs="Times New Roman"/>
        </w:rPr>
        <w:t xml:space="preserve"> In the context of criminal trials, however, sanctions entail a deadweight loss, and therefore a higher decision threshold </w:t>
      </w:r>
      <w:proofErr w:type="gramStart"/>
      <w:r>
        <w:rPr>
          <w:rFonts w:ascii="Times New Roman" w:hAnsi="Times New Roman" w:cs="Times New Roman"/>
        </w:rPr>
        <w:t>should be used</w:t>
      </w:r>
      <w:proofErr w:type="gramEnd"/>
      <w:r>
        <w:rPr>
          <w:rFonts w:ascii="Times New Roman" w:hAnsi="Times New Roman" w:cs="Times New Roman"/>
        </w:rPr>
        <w:t>.</w:t>
      </w:r>
      <w:r>
        <w:rPr>
          <w:rStyle w:val="FootnoteReference"/>
          <w:rFonts w:ascii="Times New Roman" w:hAnsi="Times New Roman"/>
        </w:rPr>
        <w:footnoteReference w:id="56"/>
      </w:r>
    </w:p>
    <w:p w14:paraId="2AB1E64F" w14:textId="77777777" w:rsidR="00AF3030" w:rsidRDefault="00AF3030" w:rsidP="00AF3030">
      <w:pPr>
        <w:bidi w:val="0"/>
        <w:ind w:firstLine="720"/>
        <w:jc w:val="both"/>
        <w:rPr>
          <w:rFonts w:ascii="Times New Roman" w:hAnsi="Times New Roman" w:cs="Times New Roman"/>
        </w:rPr>
      </w:pPr>
      <w:r>
        <w:rPr>
          <w:rFonts w:ascii="Times New Roman" w:hAnsi="Times New Roman" w:cs="Times New Roman"/>
        </w:rPr>
        <w:lastRenderedPageBreak/>
        <w:t xml:space="preserve">Legal philosophers have further elaborated on this point and highlighted the potential justification for the beyond a reasonable doubt standard that extends further than error cost minimization. Scholars such as </w:t>
      </w:r>
      <w:r w:rsidRPr="00965717">
        <w:rPr>
          <w:rFonts w:ascii="Times New Roman" w:hAnsi="Times New Roman" w:cs="Times New Roman"/>
        </w:rPr>
        <w:t xml:space="preserve">Laurence </w:t>
      </w:r>
      <w:r>
        <w:rPr>
          <w:rFonts w:ascii="Times New Roman" w:hAnsi="Times New Roman" w:cs="Times New Roman"/>
        </w:rPr>
        <w:t xml:space="preserve">Tribe, Ronald </w:t>
      </w:r>
      <w:r w:rsidRPr="009E0FA9">
        <w:rPr>
          <w:rFonts w:ascii="Times New Roman" w:hAnsi="Times New Roman" w:cs="Times New Roman"/>
        </w:rPr>
        <w:t xml:space="preserve">Dworkin, and Alex Stein have underscored the importance of limiting convictions to cases in which guilt </w:t>
      </w:r>
      <w:proofErr w:type="gramStart"/>
      <w:r w:rsidRPr="009E0FA9">
        <w:rPr>
          <w:rFonts w:ascii="Times New Roman" w:hAnsi="Times New Roman" w:cs="Times New Roman"/>
        </w:rPr>
        <w:t>is proven</w:t>
      </w:r>
      <w:proofErr w:type="gramEnd"/>
      <w:r w:rsidRPr="009E0FA9">
        <w:rPr>
          <w:rFonts w:ascii="Times New Roman" w:hAnsi="Times New Roman" w:cs="Times New Roman"/>
        </w:rPr>
        <w:t xml:space="preserve"> </w:t>
      </w:r>
      <w:r>
        <w:rPr>
          <w:rFonts w:ascii="Times New Roman" w:hAnsi="Times New Roman" w:cs="Times New Roman"/>
        </w:rPr>
        <w:t>beyond a reasonable doubt</w:t>
      </w:r>
      <w:r w:rsidRPr="009E0FA9">
        <w:rPr>
          <w:rFonts w:ascii="Times New Roman" w:hAnsi="Times New Roman" w:cs="Times New Roman"/>
        </w:rPr>
        <w:t xml:space="preserve"> to the protection of fairness, equality</w:t>
      </w:r>
      <w:r>
        <w:rPr>
          <w:rFonts w:ascii="Times New Roman" w:hAnsi="Times New Roman" w:cs="Times New Roman"/>
        </w:rPr>
        <w:t>,</w:t>
      </w:r>
      <w:r w:rsidRPr="009E0FA9">
        <w:rPr>
          <w:rFonts w:ascii="Times New Roman" w:hAnsi="Times New Roman" w:cs="Times New Roman"/>
        </w:rPr>
        <w:t xml:space="preserve"> and human dignity.</w:t>
      </w:r>
      <w:r>
        <w:rPr>
          <w:rStyle w:val="FootnoteReference"/>
          <w:rFonts w:ascii="Times New Roman" w:hAnsi="Times New Roman"/>
        </w:rPr>
        <w:footnoteReference w:id="57"/>
      </w:r>
      <w:r w:rsidRPr="009E0FA9">
        <w:rPr>
          <w:rFonts w:ascii="Times New Roman" w:hAnsi="Times New Roman" w:cs="Times New Roman"/>
        </w:rPr>
        <w:t xml:space="preserve"> </w:t>
      </w:r>
      <w:r>
        <w:rPr>
          <w:rFonts w:ascii="Times New Roman" w:hAnsi="Times New Roman" w:cs="Times New Roman"/>
        </w:rPr>
        <w:t>Relatedly, Professor Antony Duff and his colleagues have tied the standard to the expressive function of criminal law and the act of condemnation.</w:t>
      </w:r>
      <w:r>
        <w:rPr>
          <w:rStyle w:val="FootnoteReference"/>
          <w:rFonts w:ascii="Times New Roman" w:hAnsi="Times New Roman"/>
        </w:rPr>
        <w:footnoteReference w:id="58"/>
      </w:r>
      <w:r>
        <w:rPr>
          <w:rFonts w:ascii="Times New Roman" w:hAnsi="Times New Roman" w:cs="Times New Roman"/>
        </w:rPr>
        <w:t xml:space="preserve"> According to their argument, for a court to have the right to condemn the defendant it must know that the defendant is guilty and that the judgment is true. Employing the elevated beyond a reasonable doubt standard helps facilitate this condition. </w:t>
      </w:r>
    </w:p>
    <w:p w14:paraId="05DD2A03" w14:textId="77777777" w:rsidR="00AF3030" w:rsidRPr="00C07FD5" w:rsidRDefault="00AF3030" w:rsidP="00AF3030">
      <w:pPr>
        <w:bidi w:val="0"/>
        <w:ind w:firstLine="720"/>
        <w:jc w:val="both"/>
        <w:rPr>
          <w:rFonts w:ascii="Times New Roman" w:hAnsi="Times New Roman" w:cs="Times New Roman"/>
        </w:rPr>
      </w:pPr>
      <w:r w:rsidRPr="00C07FD5">
        <w:rPr>
          <w:rFonts w:ascii="Times New Roman" w:hAnsi="Times New Roman" w:cs="Times New Roman"/>
        </w:rPr>
        <w:t>Lately, however, this normative analysis has come under significant scrutiny.</w:t>
      </w:r>
      <w:bookmarkStart w:id="20" w:name="_Ref432025602"/>
      <w:r w:rsidRPr="00C07FD5">
        <w:rPr>
          <w:rStyle w:val="FootnoteReference"/>
          <w:rFonts w:ascii="Times New Roman" w:hAnsi="Times New Roman"/>
        </w:rPr>
        <w:footnoteReference w:id="59"/>
      </w:r>
      <w:bookmarkEnd w:id="20"/>
      <w:r w:rsidRPr="00C07FD5">
        <w:rPr>
          <w:rFonts w:ascii="Times New Roman" w:hAnsi="Times New Roman" w:cs="Times New Roman"/>
        </w:rPr>
        <w:t xml:space="preserve"> Focusing on incapacitation, Professor Larry </w:t>
      </w:r>
      <w:proofErr w:type="spellStart"/>
      <w:r w:rsidRPr="00C07FD5">
        <w:rPr>
          <w:rFonts w:ascii="Times New Roman" w:hAnsi="Times New Roman" w:cs="Times New Roman"/>
        </w:rPr>
        <w:t>Laud</w:t>
      </w:r>
      <w:r>
        <w:rPr>
          <w:rFonts w:ascii="Times New Roman" w:hAnsi="Times New Roman" w:cs="Times New Roman"/>
        </w:rPr>
        <w:t>a</w:t>
      </w:r>
      <w:r w:rsidRPr="00C07FD5">
        <w:rPr>
          <w:rFonts w:ascii="Times New Roman" w:hAnsi="Times New Roman" w:cs="Times New Roman"/>
        </w:rPr>
        <w:t>n</w:t>
      </w:r>
      <w:proofErr w:type="spellEnd"/>
      <w:r w:rsidRPr="00C07FD5">
        <w:rPr>
          <w:rFonts w:ascii="Times New Roman" w:hAnsi="Times New Roman" w:cs="Times New Roman"/>
        </w:rPr>
        <w:t xml:space="preserve"> has forcefully advocated relaxing the burden of proof, at least in cases involving violent repeat offenders.</w:t>
      </w:r>
      <w:bookmarkStart w:id="21" w:name="_Ref428454367"/>
      <w:r w:rsidRPr="00C07FD5">
        <w:rPr>
          <w:rStyle w:val="FootnoteReference"/>
          <w:rFonts w:ascii="Times New Roman" w:hAnsi="Times New Roman"/>
        </w:rPr>
        <w:footnoteReference w:id="60"/>
      </w:r>
      <w:bookmarkEnd w:id="21"/>
      <w:r w:rsidRPr="00C07FD5">
        <w:rPr>
          <w:rFonts w:ascii="Times New Roman" w:hAnsi="Times New Roman" w:cs="Times New Roman"/>
        </w:rPr>
        <w:t xml:space="preserve"> According to </w:t>
      </w:r>
      <w:proofErr w:type="spellStart"/>
      <w:r w:rsidRPr="00C07FD5">
        <w:rPr>
          <w:rFonts w:ascii="Times New Roman" w:hAnsi="Times New Roman" w:cs="Times New Roman"/>
        </w:rPr>
        <w:t>Laud</w:t>
      </w:r>
      <w:r>
        <w:rPr>
          <w:rFonts w:ascii="Times New Roman" w:hAnsi="Times New Roman" w:cs="Times New Roman"/>
        </w:rPr>
        <w:t>a</w:t>
      </w:r>
      <w:r w:rsidRPr="00C07FD5">
        <w:rPr>
          <w:rFonts w:ascii="Times New Roman" w:hAnsi="Times New Roman" w:cs="Times New Roman"/>
        </w:rPr>
        <w:t>n’s</w:t>
      </w:r>
      <w:proofErr w:type="spellEnd"/>
      <w:r w:rsidRPr="00C07FD5">
        <w:rPr>
          <w:rFonts w:ascii="Times New Roman" w:hAnsi="Times New Roman" w:cs="Times New Roman"/>
        </w:rPr>
        <w:t xml:space="preserve"> analysis of the available empirical data, each false acquittal entails </w:t>
      </w:r>
      <w:r>
        <w:rPr>
          <w:rFonts w:ascii="Times New Roman" w:hAnsi="Times New Roman" w:cs="Times New Roman"/>
        </w:rPr>
        <w:t>the</w:t>
      </w:r>
      <w:r w:rsidRPr="00C07FD5">
        <w:rPr>
          <w:rFonts w:ascii="Times New Roman" w:hAnsi="Times New Roman" w:cs="Times New Roman"/>
        </w:rPr>
        <w:t xml:space="preserve"> cost of enabling more than </w:t>
      </w:r>
      <w:r>
        <w:rPr>
          <w:rFonts w:ascii="Times New Roman" w:hAnsi="Times New Roman" w:cs="Times New Roman"/>
        </w:rPr>
        <w:t>36</w:t>
      </w:r>
      <w:r w:rsidRPr="00C07FD5">
        <w:rPr>
          <w:rFonts w:ascii="Times New Roman" w:hAnsi="Times New Roman" w:cs="Times New Roman"/>
        </w:rPr>
        <w:t xml:space="preserve"> crimes (seven of which are violent).</w:t>
      </w:r>
      <w:r w:rsidRPr="00C07FD5">
        <w:rPr>
          <w:rStyle w:val="FootnoteReference"/>
          <w:rFonts w:ascii="Times New Roman" w:hAnsi="Times New Roman"/>
        </w:rPr>
        <w:footnoteReference w:id="61"/>
      </w:r>
      <w:r w:rsidRPr="00C07FD5">
        <w:rPr>
          <w:rFonts w:ascii="Times New Roman" w:hAnsi="Times New Roman" w:cs="Times New Roman"/>
        </w:rPr>
        <w:t xml:space="preserve"> Based on this</w:t>
      </w:r>
      <w:r>
        <w:rPr>
          <w:rFonts w:ascii="Times New Roman" w:hAnsi="Times New Roman" w:cs="Times New Roman"/>
        </w:rPr>
        <w:t>,</w:t>
      </w:r>
      <w:r w:rsidRPr="00C07FD5">
        <w:rPr>
          <w:rFonts w:ascii="Times New Roman" w:hAnsi="Times New Roman" w:cs="Times New Roman"/>
        </w:rPr>
        <w:t xml:space="preserve"> </w:t>
      </w:r>
      <w:proofErr w:type="spellStart"/>
      <w:r w:rsidRPr="00C07FD5">
        <w:rPr>
          <w:rFonts w:ascii="Times New Roman" w:hAnsi="Times New Roman" w:cs="Times New Roman"/>
        </w:rPr>
        <w:t>Laud</w:t>
      </w:r>
      <w:r>
        <w:rPr>
          <w:rFonts w:ascii="Times New Roman" w:hAnsi="Times New Roman" w:cs="Times New Roman"/>
        </w:rPr>
        <w:t>a</w:t>
      </w:r>
      <w:r w:rsidRPr="00C07FD5">
        <w:rPr>
          <w:rFonts w:ascii="Times New Roman" w:hAnsi="Times New Roman" w:cs="Times New Roman"/>
        </w:rPr>
        <w:t>n</w:t>
      </w:r>
      <w:proofErr w:type="spellEnd"/>
      <w:r w:rsidRPr="00C07FD5">
        <w:rPr>
          <w:rFonts w:ascii="Times New Roman" w:hAnsi="Times New Roman" w:cs="Times New Roman"/>
        </w:rPr>
        <w:t xml:space="preserve"> concludes that “</w:t>
      </w:r>
      <w:r w:rsidRPr="00DC2BC2">
        <w:rPr>
          <w:rFonts w:ascii="Times New Roman" w:hAnsi="Times New Roman" w:cs="Times New Roman"/>
        </w:rPr>
        <w:t>in terms of costs and benefits, it would be better acquitting fewer guilty defendants than we now do, even if that were to mean falsely convicting more defendants than we now do.</w:t>
      </w:r>
      <w:r w:rsidRPr="00C07FD5">
        <w:rPr>
          <w:rFonts w:ascii="Times New Roman" w:hAnsi="Times New Roman" w:cs="Times New Roman"/>
        </w:rPr>
        <w:t>”</w:t>
      </w:r>
      <w:r>
        <w:rPr>
          <w:rStyle w:val="FootnoteReference"/>
          <w:rFonts w:ascii="Times New Roman" w:hAnsi="Times New Roman"/>
        </w:rPr>
        <w:footnoteReference w:id="62"/>
      </w:r>
    </w:p>
    <w:p w14:paraId="10A1693E" w14:textId="589ADA59" w:rsidR="00AF3030" w:rsidRDefault="00AF3030" w:rsidP="00186B6D">
      <w:pPr>
        <w:bidi w:val="0"/>
        <w:ind w:firstLine="720"/>
        <w:jc w:val="both"/>
        <w:rPr>
          <w:rFonts w:ascii="Times New Roman" w:hAnsi="Times New Roman" w:cs="Times New Roman"/>
        </w:rPr>
      </w:pPr>
      <w:r w:rsidRPr="0014083A">
        <w:rPr>
          <w:rFonts w:ascii="Times New Roman" w:hAnsi="Times New Roman" w:cs="Times New Roman"/>
        </w:rPr>
        <w:t xml:space="preserve">Perhaps even more important from a consequentialist perspective </w:t>
      </w:r>
      <w:r>
        <w:rPr>
          <w:rFonts w:ascii="Times New Roman" w:hAnsi="Times New Roman" w:cs="Times New Roman"/>
        </w:rPr>
        <w:t xml:space="preserve">is the way in which the burden of proof influences ex ante incentives. Recently, Professor </w:t>
      </w:r>
      <w:r w:rsidRPr="001603B2">
        <w:rPr>
          <w:rFonts w:ascii="Times New Roman" w:hAnsi="Times New Roman" w:cs="Times New Roman"/>
        </w:rPr>
        <w:t xml:space="preserve">Louis Kaplow </w:t>
      </w:r>
      <w:r>
        <w:rPr>
          <w:rFonts w:ascii="Times New Roman" w:hAnsi="Times New Roman" w:cs="Times New Roman"/>
        </w:rPr>
        <w:t>addressed this point and presented</w:t>
      </w:r>
      <w:r w:rsidRPr="001603B2">
        <w:rPr>
          <w:rFonts w:ascii="Times New Roman" w:hAnsi="Times New Roman" w:cs="Times New Roman"/>
        </w:rPr>
        <w:t xml:space="preserve"> </w:t>
      </w:r>
      <w:r>
        <w:rPr>
          <w:rFonts w:ascii="Times New Roman" w:hAnsi="Times New Roman" w:cs="Times New Roman"/>
        </w:rPr>
        <w:t>a</w:t>
      </w:r>
      <w:r w:rsidRPr="001603B2">
        <w:rPr>
          <w:rFonts w:ascii="Times New Roman" w:hAnsi="Times New Roman" w:cs="Times New Roman"/>
        </w:rPr>
        <w:t xml:space="preserve"> </w:t>
      </w:r>
      <w:r>
        <w:rPr>
          <w:rFonts w:ascii="Times New Roman" w:hAnsi="Times New Roman" w:cs="Times New Roman"/>
        </w:rPr>
        <w:t>model</w:t>
      </w:r>
      <w:r w:rsidRPr="001603B2">
        <w:rPr>
          <w:rFonts w:ascii="Times New Roman" w:hAnsi="Times New Roman" w:cs="Times New Roman"/>
        </w:rPr>
        <w:t xml:space="preserve"> of the </w:t>
      </w:r>
      <w:r>
        <w:rPr>
          <w:rFonts w:ascii="Times New Roman" w:hAnsi="Times New Roman" w:cs="Times New Roman"/>
        </w:rPr>
        <w:t xml:space="preserve">burden of proof </w:t>
      </w:r>
      <w:r w:rsidRPr="001603B2">
        <w:rPr>
          <w:rFonts w:ascii="Times New Roman" w:hAnsi="Times New Roman" w:cs="Times New Roman"/>
        </w:rPr>
        <w:t>geared towards optimizing social welfare.</w:t>
      </w:r>
      <w:bookmarkStart w:id="22" w:name="_Ref432587365"/>
      <w:r w:rsidRPr="001603B2">
        <w:rPr>
          <w:rStyle w:val="FootnoteReference"/>
          <w:rFonts w:ascii="Times New Roman" w:hAnsi="Times New Roman"/>
        </w:rPr>
        <w:footnoteReference w:id="63"/>
      </w:r>
      <w:bookmarkEnd w:id="22"/>
      <w:r w:rsidRPr="001603B2">
        <w:rPr>
          <w:rFonts w:ascii="Times New Roman" w:hAnsi="Times New Roman" w:cs="Times New Roman"/>
        </w:rPr>
        <w:t xml:space="preserve"> </w:t>
      </w:r>
      <w:r>
        <w:rPr>
          <w:rFonts w:ascii="Times New Roman" w:hAnsi="Times New Roman" w:cs="Times New Roman"/>
        </w:rPr>
        <w:t>T</w:t>
      </w:r>
      <w:r w:rsidRPr="001603B2">
        <w:rPr>
          <w:rFonts w:ascii="Times New Roman" w:hAnsi="Times New Roman" w:cs="Times New Roman"/>
        </w:rPr>
        <w:t>he model suggests that the decision threshold should be set in order to balance between the benefits associated with deterring harmful behavior on one hand and the risks associated with chilling benign behavior on the other hand.</w:t>
      </w:r>
      <w:r w:rsidRPr="001603B2">
        <w:rPr>
          <w:rStyle w:val="FootnoteReference"/>
          <w:rFonts w:ascii="Times New Roman" w:hAnsi="Times New Roman"/>
        </w:rPr>
        <w:footnoteReference w:id="64"/>
      </w:r>
      <w:r w:rsidRPr="001603B2">
        <w:rPr>
          <w:rFonts w:ascii="Times New Roman" w:hAnsi="Times New Roman" w:cs="Times New Roman"/>
        </w:rPr>
        <w:t xml:space="preserve"> Kaplow</w:t>
      </w:r>
      <w:r>
        <w:rPr>
          <w:rFonts w:ascii="Times New Roman" w:hAnsi="Times New Roman" w:cs="Times New Roman"/>
        </w:rPr>
        <w:t>’</w:t>
      </w:r>
      <w:r w:rsidRPr="001603B2">
        <w:rPr>
          <w:rFonts w:ascii="Times New Roman" w:hAnsi="Times New Roman" w:cs="Times New Roman"/>
        </w:rPr>
        <w:t xml:space="preserve">s </w:t>
      </w:r>
      <w:r w:rsidR="00186B6D">
        <w:rPr>
          <w:rFonts w:ascii="Times New Roman" w:hAnsi="Times New Roman" w:cs="Times New Roman"/>
        </w:rPr>
        <w:t xml:space="preserve">nuanced </w:t>
      </w:r>
      <w:r w:rsidRPr="001603B2">
        <w:rPr>
          <w:rFonts w:ascii="Times New Roman" w:hAnsi="Times New Roman" w:cs="Times New Roman"/>
        </w:rPr>
        <w:t xml:space="preserve">analysis </w:t>
      </w:r>
      <w:proofErr w:type="gramStart"/>
      <w:r w:rsidRPr="001603B2">
        <w:rPr>
          <w:rFonts w:ascii="Times New Roman" w:hAnsi="Times New Roman" w:cs="Times New Roman"/>
        </w:rPr>
        <w:t>is attuned</w:t>
      </w:r>
      <w:proofErr w:type="gramEnd"/>
      <w:r w:rsidRPr="001603B2">
        <w:rPr>
          <w:rFonts w:ascii="Times New Roman" w:hAnsi="Times New Roman" w:cs="Times New Roman"/>
        </w:rPr>
        <w:t xml:space="preserve"> to different aspects of the legal system that might interact with the burden of proof. Thus, he incorporates into his model issues such as the enforcement level, the magnitude of sanctions</w:t>
      </w:r>
      <w:r>
        <w:rPr>
          <w:rFonts w:ascii="Times New Roman" w:hAnsi="Times New Roman" w:cs="Times New Roman"/>
        </w:rPr>
        <w:t>,</w:t>
      </w:r>
      <w:r w:rsidRPr="001603B2">
        <w:rPr>
          <w:rFonts w:ascii="Times New Roman" w:hAnsi="Times New Roman" w:cs="Times New Roman"/>
        </w:rPr>
        <w:t xml:space="preserve"> and the accuracy of adjudication.</w:t>
      </w:r>
      <w:r w:rsidRPr="001603B2">
        <w:rPr>
          <w:rStyle w:val="FootnoteReference"/>
          <w:rFonts w:ascii="Times New Roman" w:hAnsi="Times New Roman"/>
        </w:rPr>
        <w:footnoteReference w:id="65"/>
      </w:r>
      <w:r w:rsidRPr="001603B2">
        <w:rPr>
          <w:rFonts w:ascii="Times New Roman" w:hAnsi="Times New Roman" w:cs="Times New Roman"/>
        </w:rPr>
        <w:t xml:space="preserve"> </w:t>
      </w:r>
      <w:r>
        <w:rPr>
          <w:rFonts w:ascii="Times New Roman" w:hAnsi="Times New Roman" w:cs="Times New Roman"/>
        </w:rPr>
        <w:t>While it is difficult to articulate based on Kaplow’s model what the burden of proof should be in all cases, the model shows that given the parameters of social welfare “</w:t>
      </w:r>
      <w:r w:rsidRPr="00EE0B12">
        <w:rPr>
          <w:rFonts w:ascii="Times New Roman" w:hAnsi="Times New Roman" w:cs="Times New Roman"/>
        </w:rPr>
        <w:t>the optimal evidence threshold could be much more demanding or</w:t>
      </w:r>
      <w:r>
        <w:rPr>
          <w:rFonts w:ascii="Times New Roman" w:hAnsi="Times New Roman" w:cs="Times New Roman"/>
        </w:rPr>
        <w:t xml:space="preserve"> </w:t>
      </w:r>
      <w:r w:rsidRPr="00EE0B12">
        <w:rPr>
          <w:rFonts w:ascii="Times New Roman" w:hAnsi="Times New Roman" w:cs="Times New Roman"/>
        </w:rPr>
        <w:t>notably more lax</w:t>
      </w:r>
      <w:r>
        <w:rPr>
          <w:rFonts w:ascii="Times New Roman" w:hAnsi="Times New Roman" w:cs="Times New Roman"/>
        </w:rPr>
        <w:t>” than existing practices, depending on the specific context.</w:t>
      </w:r>
      <w:bookmarkStart w:id="23" w:name="_Ref432587368"/>
      <w:r w:rsidRPr="001603B2">
        <w:rPr>
          <w:rStyle w:val="FootnoteReference"/>
          <w:rFonts w:ascii="Times New Roman" w:hAnsi="Times New Roman"/>
        </w:rPr>
        <w:footnoteReference w:id="66"/>
      </w:r>
      <w:bookmarkEnd w:id="23"/>
      <w:r>
        <w:rPr>
          <w:rFonts w:ascii="Times New Roman" w:hAnsi="Times New Roman" w:cs="Times New Roman"/>
        </w:rPr>
        <w:t xml:space="preserve"> In </w:t>
      </w:r>
      <w:r>
        <w:rPr>
          <w:rFonts w:ascii="Times New Roman" w:hAnsi="Times New Roman" w:cs="Times New Roman"/>
        </w:rPr>
        <w:lastRenderedPageBreak/>
        <w:t xml:space="preserve">other words, a uniform application of the beyond reasonable standard across all criminal cases is incompatible with social welfare maximization. </w:t>
      </w:r>
    </w:p>
    <w:p w14:paraId="1B4F3330" w14:textId="77777777" w:rsidR="00AF3030" w:rsidRDefault="00AF3030" w:rsidP="00AF3030">
      <w:pPr>
        <w:bidi w:val="0"/>
        <w:ind w:firstLine="720"/>
        <w:jc w:val="both"/>
        <w:rPr>
          <w:rFonts w:ascii="Times New Roman" w:hAnsi="Times New Roman" w:cs="Times New Roman"/>
        </w:rPr>
      </w:pPr>
      <w:r>
        <w:rPr>
          <w:rFonts w:ascii="Times New Roman" w:hAnsi="Times New Roman" w:cs="Times New Roman"/>
        </w:rPr>
        <w:t xml:space="preserve">Those writing from a retributive perspective have also suggested that it might be time to lower the governing burden of proof in criminal trials, although a distinction </w:t>
      </w:r>
      <w:proofErr w:type="gramStart"/>
      <w:r>
        <w:rPr>
          <w:rFonts w:ascii="Times New Roman" w:hAnsi="Times New Roman" w:cs="Times New Roman"/>
        </w:rPr>
        <w:t>should be drawn</w:t>
      </w:r>
      <w:proofErr w:type="gramEnd"/>
      <w:r>
        <w:rPr>
          <w:rFonts w:ascii="Times New Roman" w:hAnsi="Times New Roman" w:cs="Times New Roman"/>
        </w:rPr>
        <w:t xml:space="preserve"> here between positive and negative </w:t>
      </w:r>
      <w:r w:rsidRPr="0014083A">
        <w:rPr>
          <w:rFonts w:ascii="Times New Roman" w:hAnsi="Times New Roman" w:cs="Times New Roman"/>
        </w:rPr>
        <w:t>retribution</w:t>
      </w:r>
      <w:r>
        <w:rPr>
          <w:rFonts w:ascii="Times New Roman" w:hAnsi="Times New Roman" w:cs="Times New Roman"/>
        </w:rPr>
        <w:t xml:space="preserve">. </w:t>
      </w:r>
      <w:r w:rsidRPr="0014083A">
        <w:rPr>
          <w:rFonts w:ascii="Times New Roman" w:hAnsi="Times New Roman" w:cs="Times New Roman"/>
        </w:rPr>
        <w:t xml:space="preserve">Positive retribution </w:t>
      </w:r>
      <w:r>
        <w:rPr>
          <w:rFonts w:ascii="Times New Roman" w:hAnsi="Times New Roman" w:cs="Times New Roman"/>
        </w:rPr>
        <w:t xml:space="preserve">means </w:t>
      </w:r>
      <w:r w:rsidRPr="0014083A">
        <w:rPr>
          <w:rFonts w:ascii="Times New Roman" w:hAnsi="Times New Roman" w:cs="Times New Roman"/>
        </w:rPr>
        <w:t>that justice requires both punish</w:t>
      </w:r>
      <w:r>
        <w:rPr>
          <w:rFonts w:ascii="Times New Roman" w:hAnsi="Times New Roman" w:cs="Times New Roman"/>
        </w:rPr>
        <w:t>ing</w:t>
      </w:r>
      <w:r w:rsidRPr="0014083A">
        <w:rPr>
          <w:rFonts w:ascii="Times New Roman" w:hAnsi="Times New Roman" w:cs="Times New Roman"/>
        </w:rPr>
        <w:t xml:space="preserve"> the guilty </w:t>
      </w:r>
      <w:r>
        <w:rPr>
          <w:rFonts w:ascii="Times New Roman" w:hAnsi="Times New Roman" w:cs="Times New Roman"/>
        </w:rPr>
        <w:t>and not punishing the innocent.</w:t>
      </w:r>
      <w:r w:rsidRPr="0014083A">
        <w:rPr>
          <w:rFonts w:ascii="Times New Roman" w:hAnsi="Times New Roman" w:cs="Times New Roman"/>
        </w:rPr>
        <w:t xml:space="preserve"> According to </w:t>
      </w:r>
      <w:r w:rsidRPr="00C07FD5">
        <w:rPr>
          <w:rFonts w:ascii="Times New Roman" w:hAnsi="Times New Roman" w:cs="Times New Roman"/>
        </w:rPr>
        <w:t xml:space="preserve">Professor </w:t>
      </w:r>
      <w:r w:rsidRPr="0014083A">
        <w:rPr>
          <w:rFonts w:ascii="Times New Roman" w:hAnsi="Times New Roman" w:cs="Times New Roman"/>
        </w:rPr>
        <w:t>Michael Moore, the offender’s desert “gives society more than merely a right to punish culpable offenders … For a retributivist, the moral responsibility of an offender also gives society the duty to punish.”</w:t>
      </w:r>
      <w:r w:rsidRPr="0014083A">
        <w:rPr>
          <w:rStyle w:val="FootnoteReference"/>
          <w:rFonts w:ascii="Times New Roman" w:hAnsi="Times New Roman"/>
        </w:rPr>
        <w:footnoteReference w:id="67"/>
      </w:r>
      <w:r w:rsidRPr="0014083A">
        <w:rPr>
          <w:rFonts w:ascii="Times New Roman" w:hAnsi="Times New Roman" w:cs="Times New Roman"/>
        </w:rPr>
        <w:t xml:space="preserve"> </w:t>
      </w:r>
      <w:r>
        <w:rPr>
          <w:rFonts w:ascii="Times New Roman" w:hAnsi="Times New Roman" w:cs="Times New Roman"/>
        </w:rPr>
        <w:t>I</w:t>
      </w:r>
      <w:r w:rsidRPr="0014083A">
        <w:rPr>
          <w:rFonts w:ascii="Times New Roman" w:hAnsi="Times New Roman" w:cs="Times New Roman"/>
        </w:rPr>
        <w:t xml:space="preserve">n its positive form, retributivism </w:t>
      </w:r>
      <w:r>
        <w:rPr>
          <w:rFonts w:ascii="Times New Roman" w:hAnsi="Times New Roman" w:cs="Times New Roman"/>
        </w:rPr>
        <w:t xml:space="preserve">can be relatively permissive with respect to the proper </w:t>
      </w:r>
      <w:r w:rsidRPr="0014083A">
        <w:rPr>
          <w:rFonts w:ascii="Times New Roman" w:hAnsi="Times New Roman" w:cs="Times New Roman"/>
        </w:rPr>
        <w:t xml:space="preserve">balance between </w:t>
      </w:r>
      <w:proofErr w:type="gramStart"/>
      <w:r w:rsidRPr="0014083A">
        <w:rPr>
          <w:rFonts w:ascii="Times New Roman" w:hAnsi="Times New Roman" w:cs="Times New Roman"/>
        </w:rPr>
        <w:t>type</w:t>
      </w:r>
      <w:proofErr w:type="gramEnd"/>
      <w:r w:rsidRPr="0014083A">
        <w:rPr>
          <w:rFonts w:ascii="Times New Roman" w:hAnsi="Times New Roman" w:cs="Times New Roman"/>
        </w:rPr>
        <w:t xml:space="preserve"> 1 and type 2 errors. </w:t>
      </w:r>
      <w:r>
        <w:rPr>
          <w:rFonts w:ascii="Times New Roman" w:hAnsi="Times New Roman" w:cs="Times New Roman"/>
        </w:rPr>
        <w:t>As</w:t>
      </w:r>
      <w:r w:rsidRPr="0014083A">
        <w:rPr>
          <w:rFonts w:ascii="Times New Roman" w:hAnsi="Times New Roman" w:cs="Times New Roman"/>
        </w:rPr>
        <w:t xml:space="preserve"> positive retributivism views both errors as a type of injustice, it cannot rule out the punishing of some innocent defendants if that furthers the goal of punishing many guilty defendants. It is precisely this point that led Moore to recognize that the preponderance of the evidence could serve as the decision threshold in criminal cases.</w:t>
      </w:r>
      <w:bookmarkStart w:id="24" w:name="_Ref433312672"/>
      <w:r w:rsidRPr="0014083A">
        <w:rPr>
          <w:rStyle w:val="FootnoteReference"/>
          <w:rFonts w:ascii="Times New Roman" w:hAnsi="Times New Roman"/>
        </w:rPr>
        <w:footnoteReference w:id="68"/>
      </w:r>
      <w:bookmarkEnd w:id="24"/>
    </w:p>
    <w:p w14:paraId="486B6CBD" w14:textId="77777777" w:rsidR="00AF3030" w:rsidRDefault="00AF3030" w:rsidP="00AF3030">
      <w:pPr>
        <w:bidi w:val="0"/>
        <w:ind w:firstLine="720"/>
        <w:jc w:val="both"/>
        <w:rPr>
          <w:rFonts w:ascii="Times New Roman" w:hAnsi="Times New Roman" w:cs="Times New Roman"/>
        </w:rPr>
      </w:pPr>
      <w:r>
        <w:rPr>
          <w:rFonts w:ascii="Times New Roman" w:hAnsi="Times New Roman" w:cs="Times New Roman"/>
        </w:rPr>
        <w:t>N</w:t>
      </w:r>
      <w:r w:rsidRPr="0014083A">
        <w:rPr>
          <w:rFonts w:ascii="Times New Roman" w:hAnsi="Times New Roman" w:cs="Times New Roman"/>
        </w:rPr>
        <w:t>egative retribution</w:t>
      </w:r>
      <w:r>
        <w:rPr>
          <w:rFonts w:ascii="Times New Roman" w:hAnsi="Times New Roman" w:cs="Times New Roman"/>
        </w:rPr>
        <w:t xml:space="preserve"> means</w:t>
      </w:r>
      <w:r w:rsidRPr="0014083A">
        <w:rPr>
          <w:rFonts w:ascii="Times New Roman" w:hAnsi="Times New Roman" w:cs="Times New Roman"/>
        </w:rPr>
        <w:t xml:space="preserve"> that it is impermissible to punish the innocent, yet there is no duty to punish the guilty. That is, the “retributive principle of just deserts is a necessary condition of punishment.”</w:t>
      </w:r>
      <w:r w:rsidRPr="0014083A">
        <w:rPr>
          <w:rStyle w:val="FootnoteReference"/>
          <w:rFonts w:ascii="Times New Roman" w:hAnsi="Times New Roman"/>
        </w:rPr>
        <w:footnoteReference w:id="69"/>
      </w:r>
      <w:r>
        <w:rPr>
          <w:rFonts w:ascii="Times New Roman" w:hAnsi="Times New Roman" w:cs="Times New Roman"/>
        </w:rPr>
        <w:t xml:space="preserve"> Given the lack of a duty to punish the guilty, the beyond reasonable doubt standard is arguably easier to defend according to a framework that does not view type </w:t>
      </w:r>
      <w:proofErr w:type="gramStart"/>
      <w:r>
        <w:rPr>
          <w:rFonts w:ascii="Times New Roman" w:hAnsi="Times New Roman" w:cs="Times New Roman"/>
        </w:rPr>
        <w:t>2</w:t>
      </w:r>
      <w:proofErr w:type="gramEnd"/>
      <w:r>
        <w:rPr>
          <w:rFonts w:ascii="Times New Roman" w:hAnsi="Times New Roman" w:cs="Times New Roman"/>
        </w:rPr>
        <w:t xml:space="preserve"> errors as an injustice. At the minimum, it would seem like negative retributivism would allow for a relatively elevated burden of proof in light of its treatment of punishing the innocent. That said, however, negative retributivism does not necessarily dictate the adoption of the beyond reasonable standard as the only permissible standard of proof in criminal adjudication. As Professor </w:t>
      </w:r>
      <w:r w:rsidRPr="00611510">
        <w:rPr>
          <w:rFonts w:ascii="Times New Roman" w:hAnsi="Times New Roman" w:cs="Times New Roman"/>
        </w:rPr>
        <w:t>van den Haag</w:t>
      </w:r>
      <w:r>
        <w:rPr>
          <w:rFonts w:ascii="Times New Roman" w:hAnsi="Times New Roman" w:cs="Times New Roman"/>
        </w:rPr>
        <w:t xml:space="preserve"> notes, “retributivism … is mute on how high the burden of proof ought to be.”</w:t>
      </w:r>
      <w:r>
        <w:rPr>
          <w:rStyle w:val="FootnoteReference"/>
          <w:rFonts w:ascii="Times New Roman" w:hAnsi="Times New Roman"/>
        </w:rPr>
        <w:footnoteReference w:id="70"/>
      </w:r>
    </w:p>
    <w:p w14:paraId="5C376041" w14:textId="77777777" w:rsidR="00AF3030" w:rsidRDefault="00AF3030" w:rsidP="00AF3030">
      <w:pPr>
        <w:bidi w:val="0"/>
        <w:ind w:firstLine="720"/>
        <w:jc w:val="both"/>
        <w:rPr>
          <w:rFonts w:ascii="Times New Roman" w:hAnsi="Times New Roman" w:cs="Times New Roman"/>
        </w:rPr>
      </w:pPr>
      <w:r>
        <w:rPr>
          <w:rFonts w:ascii="Times New Roman" w:hAnsi="Times New Roman" w:cs="Times New Roman"/>
        </w:rPr>
        <w:t xml:space="preserve">Professor Daniel Epps recently elaborated on this point and showed that </w:t>
      </w:r>
      <w:r w:rsidRPr="001C35AF">
        <w:rPr>
          <w:rFonts w:ascii="Times New Roman" w:hAnsi="Times New Roman" w:cs="Times New Roman"/>
        </w:rPr>
        <w:t xml:space="preserve">relaxing the burden of proof is permissible </w:t>
      </w:r>
      <w:r>
        <w:rPr>
          <w:rFonts w:ascii="Times New Roman" w:hAnsi="Times New Roman" w:cs="Times New Roman"/>
        </w:rPr>
        <w:t>within a framework of negative retributivism.</w:t>
      </w:r>
      <w:r w:rsidRPr="0014083A">
        <w:rPr>
          <w:rStyle w:val="FootnoteReference"/>
          <w:rFonts w:ascii="Times New Roman" w:hAnsi="Times New Roman"/>
        </w:rPr>
        <w:footnoteReference w:id="71"/>
      </w:r>
      <w:r>
        <w:rPr>
          <w:rFonts w:ascii="Times New Roman" w:hAnsi="Times New Roman" w:cs="Times New Roman"/>
        </w:rPr>
        <w:t xml:space="preserve"> In his analysis, negative retributivism only dictates that it is impermissible for the state to punish the innocent </w:t>
      </w:r>
      <w:r w:rsidRPr="00E42C9D">
        <w:rPr>
          <w:rFonts w:ascii="Times New Roman" w:hAnsi="Times New Roman" w:cs="Times New Roman"/>
          <w:i/>
          <w:iCs/>
        </w:rPr>
        <w:t>intentionally</w:t>
      </w:r>
      <w:r>
        <w:rPr>
          <w:rFonts w:ascii="Times New Roman" w:hAnsi="Times New Roman" w:cs="Times New Roman"/>
        </w:rPr>
        <w:t>. However, this is not the relevant proposition in the debate surrounding the standard of proof. In this context, the relevant question is what the permissible risk of punishing the innocent is. As Epps demonstrates, if one accepts the two very modest assumptions that (1) the state has some type of obligation to protect citizens from crime and (2) any penal system entails a risk of convicting the innocent, then negative retributivism must delegate the determination of the permissible risk of error to a consequentialist analysis. As he puts it, “</w:t>
      </w:r>
      <w:r>
        <w:rPr>
          <w:rFonts w:ascii="OldStyleSeven" w:hAnsi="OldStyleSeven" w:cs="OldStyleSeven"/>
        </w:rPr>
        <w:t xml:space="preserve">[s]o long as it is not merely permissible but indeed obligatory to have a criminal justice system to protect citizens from crime, deontological principles like negative retributivism cannot tell us </w:t>
      </w:r>
      <w:r>
        <w:rPr>
          <w:rFonts w:ascii="OldStyleSeven" w:hAnsi="OldStyleSeven" w:cs="OldStyleSeven"/>
        </w:rPr>
        <w:lastRenderedPageBreak/>
        <w:t xml:space="preserve">what precise level of risk to innocents we should tolerate; instead, we have to resort to </w:t>
      </w:r>
      <w:proofErr w:type="spellStart"/>
      <w:r>
        <w:rPr>
          <w:rFonts w:ascii="OldStyleSeven" w:hAnsi="OldStyleSeven" w:cs="OldStyleSeven"/>
        </w:rPr>
        <w:t>nondeontological</w:t>
      </w:r>
      <w:proofErr w:type="spellEnd"/>
      <w:r>
        <w:rPr>
          <w:rFonts w:ascii="OldStyleSeven" w:hAnsi="OldStyleSeven" w:cs="OldStyleSeven"/>
        </w:rPr>
        <w:t xml:space="preserve"> considerations.”</w:t>
      </w:r>
      <w:r w:rsidRPr="0014083A">
        <w:rPr>
          <w:rStyle w:val="FootnoteReference"/>
          <w:rFonts w:ascii="Times New Roman" w:hAnsi="Times New Roman"/>
        </w:rPr>
        <w:footnoteReference w:id="72"/>
      </w:r>
    </w:p>
    <w:p w14:paraId="7ACCAE66" w14:textId="0F9D2706" w:rsidR="003E51EB" w:rsidRPr="00B2164E" w:rsidRDefault="009A6FFB" w:rsidP="009A6FFB">
      <w:pPr>
        <w:keepNext/>
        <w:bidi w:val="0"/>
        <w:ind w:firstLine="720"/>
        <w:jc w:val="both"/>
        <w:rPr>
          <w:rFonts w:ascii="Times New Roman" w:hAnsi="Times New Roman" w:cs="Times New Roman"/>
          <w:rtl/>
        </w:rPr>
      </w:pPr>
      <w:r>
        <w:rPr>
          <w:rFonts w:ascii="Times New Roman" w:hAnsi="Times New Roman" w:cs="Times New Roman"/>
        </w:rPr>
        <w:t>Note, however, that j</w:t>
      </w:r>
      <w:r w:rsidR="003E51EB">
        <w:rPr>
          <w:rFonts w:ascii="Times New Roman" w:hAnsi="Times New Roman" w:cs="Times New Roman"/>
        </w:rPr>
        <w:t>ust as criminal law scholars assume that substantive rules should be governed exclusively by the moral theories that underlie them,</w:t>
      </w:r>
      <w:r w:rsidR="003E51EB">
        <w:rPr>
          <w:rStyle w:val="FootnoteReference"/>
          <w:rFonts w:ascii="Times New Roman" w:hAnsi="Times New Roman"/>
        </w:rPr>
        <w:footnoteReference w:id="73"/>
      </w:r>
      <w:r w:rsidR="003E51EB">
        <w:rPr>
          <w:rFonts w:ascii="Times New Roman" w:hAnsi="Times New Roman" w:cs="Times New Roman"/>
        </w:rPr>
        <w:t xml:space="preserve"> evidence scholars for the most part assume that the way to tinker with the distribution of type 1 and type </w:t>
      </w:r>
      <w:proofErr w:type="gramStart"/>
      <w:r w:rsidR="003E51EB">
        <w:rPr>
          <w:rFonts w:ascii="Times New Roman" w:hAnsi="Times New Roman" w:cs="Times New Roman"/>
        </w:rPr>
        <w:t>2</w:t>
      </w:r>
      <w:proofErr w:type="gramEnd"/>
      <w:r w:rsidR="003E51EB">
        <w:rPr>
          <w:rFonts w:ascii="Times New Roman" w:hAnsi="Times New Roman" w:cs="Times New Roman"/>
        </w:rPr>
        <w:t xml:space="preserve"> errors is by reforming the rules that govern trials.</w:t>
      </w:r>
      <w:r w:rsidR="003E51EB">
        <w:rPr>
          <w:rStyle w:val="FootnoteReference"/>
          <w:rFonts w:ascii="Times New Roman" w:hAnsi="Times New Roman"/>
        </w:rPr>
        <w:footnoteReference w:id="74"/>
      </w:r>
      <w:r w:rsidR="003E51EB">
        <w:rPr>
          <w:rFonts w:ascii="Times New Roman" w:hAnsi="Times New Roman" w:cs="Times New Roman"/>
        </w:rPr>
        <w:t xml:space="preserve"> After presenting his forceful argument against the beyond a reasonable doubt standard, </w:t>
      </w:r>
      <w:proofErr w:type="spellStart"/>
      <w:r w:rsidR="003E51EB">
        <w:rPr>
          <w:rFonts w:ascii="Times New Roman" w:hAnsi="Times New Roman" w:cs="Times New Roman"/>
        </w:rPr>
        <w:t>Laudan</w:t>
      </w:r>
      <w:proofErr w:type="spellEnd"/>
      <w:r w:rsidR="003E51EB">
        <w:rPr>
          <w:rFonts w:ascii="Times New Roman" w:hAnsi="Times New Roman" w:cs="Times New Roman"/>
        </w:rPr>
        <w:t xml:space="preserve"> concludes that “</w:t>
      </w:r>
      <w:r w:rsidR="003E51EB" w:rsidRPr="00B2164E">
        <w:rPr>
          <w:rFonts w:ascii="Times New Roman" w:hAnsi="Times New Roman" w:cs="Times New Roman"/>
        </w:rPr>
        <w:t>many existing rules of evidence and procedure (including the criminal standard of proof itself)…will themselves need to be drastically reconsidered to reflect a more realistic appraisal of the costs of the errors that can and will occur.”</w:t>
      </w:r>
      <w:r w:rsidR="003E51EB">
        <w:rPr>
          <w:rStyle w:val="FootnoteReference"/>
          <w:rFonts w:ascii="Times New Roman" w:hAnsi="Times New Roman"/>
        </w:rPr>
        <w:footnoteReference w:id="75"/>
      </w:r>
      <w:r w:rsidR="003E51EB" w:rsidRPr="00B2164E">
        <w:rPr>
          <w:rFonts w:ascii="Times New Roman" w:hAnsi="Times New Roman" w:cs="Times New Roman"/>
        </w:rPr>
        <w:t xml:space="preserve"> </w:t>
      </w:r>
      <w:r w:rsidR="003E51EB">
        <w:rPr>
          <w:rFonts w:ascii="Times New Roman" w:hAnsi="Times New Roman" w:cs="Times New Roman"/>
        </w:rPr>
        <w:t>Similarly, when Kaplow presents his model of the burden of proof, he takes the decision threshold to be the sole policy variable on the table</w:t>
      </w:r>
      <w:r>
        <w:rPr>
          <w:rFonts w:ascii="Times New Roman" w:hAnsi="Times New Roman" w:cs="Times New Roman"/>
        </w:rPr>
        <w:t>,</w:t>
      </w:r>
      <w:r w:rsidR="003E51EB">
        <w:rPr>
          <w:rStyle w:val="FootnoteReference"/>
          <w:rFonts w:ascii="Times New Roman" w:hAnsi="Times New Roman"/>
        </w:rPr>
        <w:footnoteReference w:id="76"/>
      </w:r>
      <w:r>
        <w:rPr>
          <w:rFonts w:ascii="Times New Roman" w:hAnsi="Times New Roman" w:cs="Times New Roman"/>
        </w:rPr>
        <w:t xml:space="preserve"> and following the same que Epps limits the policy discussion in his article to questions relating to criminal procedure.</w:t>
      </w:r>
      <w:r>
        <w:rPr>
          <w:rStyle w:val="FootnoteReference"/>
          <w:rFonts w:ascii="Times New Roman" w:hAnsi="Times New Roman"/>
        </w:rPr>
        <w:footnoteReference w:id="77"/>
      </w:r>
      <w:r w:rsidR="003E51EB">
        <w:rPr>
          <w:rFonts w:ascii="Times New Roman" w:hAnsi="Times New Roman" w:cs="Times New Roman"/>
        </w:rPr>
        <w:t xml:space="preserve"> </w:t>
      </w:r>
    </w:p>
    <w:p w14:paraId="6533321B" w14:textId="292D0F21" w:rsidR="000C327B" w:rsidRDefault="000C327B" w:rsidP="000C327B">
      <w:pPr>
        <w:bidi w:val="0"/>
        <w:ind w:firstLine="720"/>
        <w:jc w:val="center"/>
        <w:rPr>
          <w:rFonts w:ascii="Times New Roman" w:hAnsi="Times New Roman" w:cs="Times New Roman"/>
        </w:rPr>
      </w:pPr>
      <w:r>
        <w:rPr>
          <w:rFonts w:ascii="Times New Roman" w:hAnsi="Times New Roman" w:cs="Times New Roman"/>
        </w:rPr>
        <w:t>* * *</w:t>
      </w:r>
    </w:p>
    <w:p w14:paraId="59AA1131" w14:textId="506F2577" w:rsidR="000C327B" w:rsidRDefault="004C0BD1" w:rsidP="00F44E11">
      <w:pPr>
        <w:bidi w:val="0"/>
        <w:ind w:firstLine="720"/>
        <w:jc w:val="both"/>
        <w:rPr>
          <w:rFonts w:ascii="Times New Roman" w:hAnsi="Times New Roman" w:cs="Times New Roman"/>
        </w:rPr>
      </w:pPr>
      <w:r>
        <w:rPr>
          <w:rFonts w:ascii="Times New Roman" w:hAnsi="Times New Roman" w:cs="Times New Roman"/>
        </w:rPr>
        <w:t>This Section has demonstrated that the current legal debate over the proper error rate in criminal trials reflects the traditional view regarding the division of labor between substantive criminal law and the law of evidence and procedure.</w:t>
      </w:r>
      <w:bookmarkStart w:id="25" w:name="_Ref345334362"/>
      <w:r w:rsidR="006D006A" w:rsidRPr="0014083A">
        <w:rPr>
          <w:rStyle w:val="FootnoteReference"/>
          <w:rFonts w:ascii="Times New Roman" w:hAnsi="Times New Roman"/>
        </w:rPr>
        <w:footnoteReference w:id="78"/>
      </w:r>
      <w:bookmarkEnd w:id="25"/>
      <w:r w:rsidR="006D006A" w:rsidRPr="0014083A">
        <w:rPr>
          <w:rFonts w:ascii="Times New Roman" w:hAnsi="Times New Roman" w:cs="Times New Roman"/>
        </w:rPr>
        <w:t xml:space="preserve"> Within this framework, the normative discussion surrounding prohibitions and penalties </w:t>
      </w:r>
      <w:proofErr w:type="gramStart"/>
      <w:r w:rsidR="006D006A" w:rsidRPr="0014083A">
        <w:rPr>
          <w:rFonts w:ascii="Times New Roman" w:hAnsi="Times New Roman" w:cs="Times New Roman"/>
        </w:rPr>
        <w:t xml:space="preserve">is </w:t>
      </w:r>
      <w:r w:rsidR="006D006A">
        <w:rPr>
          <w:rFonts w:ascii="Times New Roman" w:hAnsi="Times New Roman" w:cs="Times New Roman"/>
        </w:rPr>
        <w:t>conducted</w:t>
      </w:r>
      <w:proofErr w:type="gramEnd"/>
      <w:r w:rsidR="006D006A" w:rsidRPr="0014083A">
        <w:rPr>
          <w:rFonts w:ascii="Times New Roman" w:hAnsi="Times New Roman" w:cs="Times New Roman"/>
        </w:rPr>
        <w:t xml:space="preserve"> solely </w:t>
      </w:r>
      <w:r w:rsidR="006D006A">
        <w:rPr>
          <w:rFonts w:ascii="Times New Roman" w:hAnsi="Times New Roman" w:cs="Times New Roman"/>
        </w:rPr>
        <w:t>in</w:t>
      </w:r>
      <w:r w:rsidR="006D006A" w:rsidRPr="0014083A">
        <w:rPr>
          <w:rFonts w:ascii="Times New Roman" w:hAnsi="Times New Roman" w:cs="Times New Roman"/>
        </w:rPr>
        <w:t xml:space="preserve"> the </w:t>
      </w:r>
      <w:r w:rsidR="006D006A">
        <w:rPr>
          <w:rFonts w:ascii="Times New Roman" w:hAnsi="Times New Roman" w:cs="Times New Roman"/>
        </w:rPr>
        <w:t xml:space="preserve">domain of the </w:t>
      </w:r>
      <w:r w:rsidR="006D006A" w:rsidRPr="0014083A">
        <w:rPr>
          <w:rFonts w:ascii="Times New Roman" w:hAnsi="Times New Roman" w:cs="Times New Roman"/>
        </w:rPr>
        <w:t>primary moral considerations underlying criminal law. The realities of fact</w:t>
      </w:r>
      <w:r w:rsidR="006D006A">
        <w:rPr>
          <w:rFonts w:ascii="Times New Roman" w:hAnsi="Times New Roman" w:cs="Times New Roman"/>
        </w:rPr>
        <w:t>-finding</w:t>
      </w:r>
      <w:r w:rsidR="006D006A" w:rsidRPr="0014083A">
        <w:rPr>
          <w:rFonts w:ascii="Times New Roman" w:hAnsi="Times New Roman" w:cs="Times New Roman"/>
        </w:rPr>
        <w:t xml:space="preserve"> and evidentiary uncertainty </w:t>
      </w:r>
      <w:proofErr w:type="gramStart"/>
      <w:r w:rsidR="006D006A" w:rsidRPr="0014083A">
        <w:rPr>
          <w:rFonts w:ascii="Times New Roman" w:hAnsi="Times New Roman" w:cs="Times New Roman"/>
        </w:rPr>
        <w:t>are delegated</w:t>
      </w:r>
      <w:proofErr w:type="gramEnd"/>
      <w:r w:rsidR="006D006A" w:rsidRPr="0014083A">
        <w:rPr>
          <w:rFonts w:ascii="Times New Roman" w:hAnsi="Times New Roman" w:cs="Times New Roman"/>
        </w:rPr>
        <w:t xml:space="preserve"> to the rules of procedure and evidence vested with the task of assuring accurate decision</w:t>
      </w:r>
      <w:r w:rsidR="006D006A">
        <w:rPr>
          <w:rFonts w:ascii="Times New Roman" w:hAnsi="Times New Roman" w:cs="Times New Roman"/>
        </w:rPr>
        <w:t>-making</w:t>
      </w:r>
      <w:r w:rsidR="006D006A" w:rsidRPr="0014083A">
        <w:rPr>
          <w:rFonts w:ascii="Times New Roman" w:hAnsi="Times New Roman" w:cs="Times New Roman"/>
        </w:rPr>
        <w:t>.</w:t>
      </w:r>
      <w:r w:rsidR="006D006A">
        <w:rPr>
          <w:rFonts w:ascii="Times New Roman" w:hAnsi="Times New Roman" w:cs="Times New Roman"/>
        </w:rPr>
        <w:t xml:space="preserve"> </w:t>
      </w:r>
      <w:r w:rsidR="000C327B">
        <w:rPr>
          <w:rFonts w:ascii="Times New Roman" w:hAnsi="Times New Roman" w:cs="Times New Roman"/>
        </w:rPr>
        <w:t>H</w:t>
      </w:r>
      <w:r w:rsidR="000C327B" w:rsidRPr="00240B79">
        <w:rPr>
          <w:rFonts w:ascii="Times New Roman" w:hAnsi="Times New Roman" w:cs="Times New Roman"/>
        </w:rPr>
        <w:t xml:space="preserve">owever, </w:t>
      </w:r>
      <w:r w:rsidR="00BD46F3">
        <w:rPr>
          <w:rFonts w:ascii="Times New Roman" w:hAnsi="Times New Roman" w:cs="Times New Roman"/>
        </w:rPr>
        <w:t xml:space="preserve">it </w:t>
      </w:r>
      <w:proofErr w:type="gramStart"/>
      <w:r w:rsidR="00BD46F3">
        <w:rPr>
          <w:rFonts w:ascii="Times New Roman" w:hAnsi="Times New Roman" w:cs="Times New Roman"/>
        </w:rPr>
        <w:t>is well established</w:t>
      </w:r>
      <w:proofErr w:type="gramEnd"/>
      <w:r w:rsidR="00BD46F3">
        <w:rPr>
          <w:rFonts w:ascii="Times New Roman" w:hAnsi="Times New Roman" w:cs="Times New Roman"/>
        </w:rPr>
        <w:t xml:space="preserve"> that procedure and substance are intertwined</w:t>
      </w:r>
      <w:r w:rsidR="0064205E">
        <w:rPr>
          <w:rFonts w:ascii="Times New Roman" w:hAnsi="Times New Roman" w:cs="Times New Roman"/>
        </w:rPr>
        <w:t>,</w:t>
      </w:r>
      <w:r w:rsidR="00FC3217">
        <w:rPr>
          <w:rStyle w:val="FootnoteReference"/>
          <w:rFonts w:ascii="Times New Roman" w:hAnsi="Times New Roman"/>
        </w:rPr>
        <w:footnoteReference w:id="79"/>
      </w:r>
      <w:r w:rsidR="00BD46F3">
        <w:rPr>
          <w:rFonts w:ascii="Times New Roman" w:hAnsi="Times New Roman" w:cs="Times New Roman"/>
        </w:rPr>
        <w:t xml:space="preserve"> </w:t>
      </w:r>
      <w:r w:rsidR="0064205E">
        <w:rPr>
          <w:rFonts w:ascii="Times New Roman" w:hAnsi="Times New Roman" w:cs="Times New Roman"/>
        </w:rPr>
        <w:t>and</w:t>
      </w:r>
      <w:r w:rsidR="000C327B" w:rsidRPr="0014083A">
        <w:rPr>
          <w:rFonts w:ascii="Times New Roman" w:hAnsi="Times New Roman" w:cs="Times New Roman"/>
        </w:rPr>
        <w:t xml:space="preserve"> the literature</w:t>
      </w:r>
      <w:r w:rsidR="000C327B">
        <w:rPr>
          <w:rFonts w:ascii="Times New Roman" w:hAnsi="Times New Roman" w:cs="Times New Roman"/>
        </w:rPr>
        <w:t xml:space="preserve"> </w:t>
      </w:r>
      <w:r w:rsidR="0064205E">
        <w:rPr>
          <w:rFonts w:ascii="Times New Roman" w:hAnsi="Times New Roman" w:cs="Times New Roman"/>
        </w:rPr>
        <w:t>has</w:t>
      </w:r>
      <w:r w:rsidR="000C327B" w:rsidRPr="0014083A">
        <w:rPr>
          <w:rFonts w:ascii="Times New Roman" w:hAnsi="Times New Roman" w:cs="Times New Roman"/>
        </w:rPr>
        <w:t xml:space="preserve"> eroded this clear distinction between substance and process</w:t>
      </w:r>
      <w:r w:rsidR="00F44E11">
        <w:rPr>
          <w:rFonts w:ascii="Times New Roman" w:hAnsi="Times New Roman" w:cs="Times New Roman"/>
        </w:rPr>
        <w:t xml:space="preserve"> in the realm of criminal law</w:t>
      </w:r>
      <w:r w:rsidR="000C327B" w:rsidRPr="0014083A">
        <w:rPr>
          <w:rFonts w:ascii="Times New Roman" w:hAnsi="Times New Roman" w:cs="Times New Roman"/>
        </w:rPr>
        <w:t>.</w:t>
      </w:r>
      <w:bookmarkStart w:id="26" w:name="_Ref438723651"/>
      <w:r w:rsidR="000C327B" w:rsidRPr="0014083A">
        <w:rPr>
          <w:rStyle w:val="FootnoteReference"/>
          <w:rFonts w:ascii="Times New Roman" w:hAnsi="Times New Roman"/>
        </w:rPr>
        <w:footnoteReference w:id="80"/>
      </w:r>
      <w:bookmarkEnd w:id="26"/>
      <w:r w:rsidR="000C327B" w:rsidRPr="0014083A">
        <w:rPr>
          <w:rFonts w:ascii="Times New Roman" w:hAnsi="Times New Roman" w:cs="Times New Roman"/>
        </w:rPr>
        <w:t xml:space="preserve"> </w:t>
      </w:r>
      <w:r w:rsidR="0064205E">
        <w:rPr>
          <w:rFonts w:ascii="Times New Roman" w:hAnsi="Times New Roman" w:cs="Times New Roman"/>
        </w:rPr>
        <w:t xml:space="preserve">This body of work suggests that </w:t>
      </w:r>
      <w:r w:rsidR="000C327B" w:rsidRPr="0014083A">
        <w:rPr>
          <w:rFonts w:ascii="Times New Roman" w:hAnsi="Times New Roman" w:cs="Times New Roman"/>
        </w:rPr>
        <w:t xml:space="preserve">the criminal process </w:t>
      </w:r>
      <w:proofErr w:type="gramStart"/>
      <w:r w:rsidR="000C327B" w:rsidRPr="0014083A">
        <w:rPr>
          <w:rFonts w:ascii="Times New Roman" w:hAnsi="Times New Roman" w:cs="Times New Roman"/>
        </w:rPr>
        <w:t>should be viewed</w:t>
      </w:r>
      <w:proofErr w:type="gramEnd"/>
      <w:r w:rsidR="000C327B" w:rsidRPr="0014083A">
        <w:rPr>
          <w:rFonts w:ascii="Times New Roman" w:hAnsi="Times New Roman" w:cs="Times New Roman"/>
        </w:rPr>
        <w:t xml:space="preserve"> as one unit governed by a unified normative theory. According to this line of thought, the rules of evidence and procedure should not only focus on</w:t>
      </w:r>
      <w:r w:rsidR="00F44E11">
        <w:rPr>
          <w:rFonts w:ascii="Times New Roman" w:hAnsi="Times New Roman" w:cs="Times New Roman"/>
        </w:rPr>
        <w:t>ly on</w:t>
      </w:r>
      <w:r w:rsidR="000C327B" w:rsidRPr="0014083A">
        <w:rPr>
          <w:rFonts w:ascii="Times New Roman" w:hAnsi="Times New Roman" w:cs="Times New Roman"/>
        </w:rPr>
        <w:t xml:space="preserve"> trials but also consider their influence on the behavior that the law is regulating.</w:t>
      </w:r>
      <w:bookmarkStart w:id="27" w:name="_Ref428281516"/>
      <w:r w:rsidR="000C327B" w:rsidRPr="0014083A">
        <w:rPr>
          <w:rStyle w:val="FootnoteReference"/>
          <w:rFonts w:ascii="Times New Roman" w:hAnsi="Times New Roman"/>
        </w:rPr>
        <w:footnoteReference w:id="81"/>
      </w:r>
      <w:bookmarkEnd w:id="27"/>
      <w:r w:rsidR="000C327B" w:rsidRPr="0014083A">
        <w:rPr>
          <w:rStyle w:val="FootnoteReference"/>
          <w:rFonts w:ascii="Times New Roman" w:hAnsi="Times New Roman"/>
        </w:rPr>
        <w:t xml:space="preserve"> </w:t>
      </w:r>
      <w:r w:rsidR="000C327B" w:rsidRPr="0014083A">
        <w:rPr>
          <w:rFonts w:ascii="Times New Roman" w:hAnsi="Times New Roman" w:cs="Times New Roman"/>
        </w:rPr>
        <w:t>For example, the rules of evidence might mediate between deterrence and retribution as the guiding principle of criminal law.</w:t>
      </w:r>
      <w:bookmarkStart w:id="28" w:name="_Ref430266791"/>
      <w:r w:rsidR="000C327B" w:rsidRPr="0014083A">
        <w:rPr>
          <w:rStyle w:val="FootnoteReference"/>
          <w:rFonts w:ascii="Times New Roman" w:hAnsi="Times New Roman"/>
        </w:rPr>
        <w:footnoteReference w:id="82"/>
      </w:r>
      <w:bookmarkEnd w:id="28"/>
      <w:r w:rsidR="000C327B" w:rsidRPr="0014083A">
        <w:rPr>
          <w:rFonts w:ascii="Times New Roman" w:hAnsi="Times New Roman" w:cs="Times New Roman"/>
        </w:rPr>
        <w:t xml:space="preserve"> Similarly, this approach suggests that the substantive rules of criminal law </w:t>
      </w:r>
      <w:proofErr w:type="gramStart"/>
      <w:r w:rsidR="000C327B" w:rsidRPr="0014083A">
        <w:rPr>
          <w:rFonts w:ascii="Times New Roman" w:hAnsi="Times New Roman" w:cs="Times New Roman"/>
        </w:rPr>
        <w:t>be analyzed</w:t>
      </w:r>
      <w:proofErr w:type="gramEnd"/>
      <w:r w:rsidR="000C327B" w:rsidRPr="0014083A">
        <w:rPr>
          <w:rFonts w:ascii="Times New Roman" w:hAnsi="Times New Roman" w:cs="Times New Roman"/>
        </w:rPr>
        <w:t xml:space="preserve"> in light of their effect on the criminal process, as parties will routinely behave in light of those rules.</w:t>
      </w:r>
      <w:r w:rsidR="000C327B" w:rsidRPr="0014083A">
        <w:rPr>
          <w:rStyle w:val="FootnoteReference"/>
          <w:rFonts w:ascii="Times New Roman" w:hAnsi="Times New Roman"/>
        </w:rPr>
        <w:footnoteReference w:id="83"/>
      </w:r>
      <w:r w:rsidR="000C327B" w:rsidRPr="0014083A">
        <w:rPr>
          <w:rFonts w:ascii="Times New Roman" w:hAnsi="Times New Roman" w:cs="Times New Roman"/>
        </w:rPr>
        <w:t xml:space="preserve"> For instance, the rule pinpointing the</w:t>
      </w:r>
      <w:r w:rsidR="000C327B">
        <w:rPr>
          <w:rFonts w:ascii="Times New Roman" w:hAnsi="Times New Roman" w:cs="Times New Roman"/>
        </w:rPr>
        <w:t xml:space="preserve"> point at</w:t>
      </w:r>
      <w:r w:rsidR="000C327B" w:rsidRPr="0014083A">
        <w:rPr>
          <w:rFonts w:ascii="Times New Roman" w:hAnsi="Times New Roman" w:cs="Times New Roman"/>
        </w:rPr>
        <w:t xml:space="preserve"> which criminal </w:t>
      </w:r>
      <w:r w:rsidR="000C327B" w:rsidRPr="0014083A">
        <w:rPr>
          <w:rFonts w:ascii="Times New Roman" w:hAnsi="Times New Roman" w:cs="Times New Roman"/>
        </w:rPr>
        <w:lastRenderedPageBreak/>
        <w:t>liability for attempts begins will influence the decision of the police to intervene in a criminal plot</w:t>
      </w:r>
      <w:r w:rsidR="000C327B">
        <w:rPr>
          <w:rFonts w:ascii="Times New Roman" w:hAnsi="Times New Roman" w:cs="Times New Roman"/>
        </w:rPr>
        <w:t>.</w:t>
      </w:r>
      <w:r w:rsidR="000C327B" w:rsidRPr="0014083A">
        <w:rPr>
          <w:rStyle w:val="FootnoteReference"/>
          <w:rFonts w:ascii="Times New Roman" w:hAnsi="Times New Roman"/>
        </w:rPr>
        <w:footnoteReference w:id="84"/>
      </w:r>
      <w:r w:rsidR="000C327B">
        <w:rPr>
          <w:rFonts w:ascii="Times New Roman" w:hAnsi="Times New Roman" w:cs="Times New Roman"/>
        </w:rPr>
        <w:t xml:space="preserve"> </w:t>
      </w:r>
      <w:r w:rsidR="000C327B" w:rsidRPr="0014083A">
        <w:rPr>
          <w:rFonts w:ascii="Times New Roman" w:hAnsi="Times New Roman" w:cs="Times New Roman"/>
        </w:rPr>
        <w:t xml:space="preserve">Notwithstanding </w:t>
      </w:r>
      <w:r w:rsidR="0064205E">
        <w:rPr>
          <w:rFonts w:ascii="Times New Roman" w:hAnsi="Times New Roman" w:cs="Times New Roman"/>
        </w:rPr>
        <w:t>the</w:t>
      </w:r>
      <w:r w:rsidR="000C327B" w:rsidRPr="0014083A">
        <w:rPr>
          <w:rFonts w:ascii="Times New Roman" w:hAnsi="Times New Roman" w:cs="Times New Roman"/>
        </w:rPr>
        <w:t xml:space="preserve"> growing body of work</w:t>
      </w:r>
      <w:r w:rsidR="0064205E">
        <w:rPr>
          <w:rFonts w:ascii="Times New Roman" w:hAnsi="Times New Roman" w:cs="Times New Roman"/>
        </w:rPr>
        <w:t xml:space="preserve"> in this area</w:t>
      </w:r>
      <w:r w:rsidR="000C327B" w:rsidRPr="0014083A">
        <w:rPr>
          <w:rFonts w:ascii="Times New Roman" w:hAnsi="Times New Roman" w:cs="Times New Roman"/>
        </w:rPr>
        <w:t xml:space="preserve">, criminal law scholars have yet to introduce an overall theory of criminal prohibitions and the distribution of punishments that highlights the evidentiary role of criminal law. The next Section </w:t>
      </w:r>
      <w:r w:rsidR="000C327B">
        <w:rPr>
          <w:rFonts w:ascii="Times New Roman" w:hAnsi="Times New Roman" w:cs="Times New Roman"/>
        </w:rPr>
        <w:t xml:space="preserve">addresses </w:t>
      </w:r>
      <w:r w:rsidR="000C327B" w:rsidRPr="0014083A">
        <w:rPr>
          <w:rFonts w:ascii="Times New Roman" w:hAnsi="Times New Roman" w:cs="Times New Roman"/>
        </w:rPr>
        <w:t>this void.</w:t>
      </w:r>
    </w:p>
    <w:p w14:paraId="09048DB1" w14:textId="77777777" w:rsidR="00DB23F8" w:rsidRPr="0014083A" w:rsidRDefault="00DB23F8" w:rsidP="00AB3D48">
      <w:pPr>
        <w:bidi w:val="0"/>
        <w:ind w:firstLine="720"/>
        <w:jc w:val="both"/>
        <w:rPr>
          <w:rFonts w:ascii="Times New Roman" w:hAnsi="Times New Roman" w:cs="Times New Roman"/>
          <w:smallCaps/>
          <w:sz w:val="24"/>
          <w:szCs w:val="24"/>
          <w:rtl/>
        </w:rPr>
      </w:pPr>
    </w:p>
    <w:p w14:paraId="0EBC8776" w14:textId="77777777" w:rsidR="00DB23F8" w:rsidRPr="0014083A" w:rsidRDefault="00DB23F8" w:rsidP="007D6421">
      <w:pPr>
        <w:pStyle w:val="ListParagraph"/>
        <w:numPr>
          <w:ilvl w:val="0"/>
          <w:numId w:val="5"/>
        </w:numPr>
        <w:bidi w:val="0"/>
        <w:jc w:val="center"/>
        <w:rPr>
          <w:rFonts w:ascii="Times New Roman" w:hAnsi="Times New Roman" w:cs="Times New Roman"/>
          <w:b/>
          <w:bCs/>
          <w:smallCaps/>
          <w:sz w:val="24"/>
          <w:szCs w:val="24"/>
        </w:rPr>
      </w:pPr>
      <w:r w:rsidRPr="0014083A">
        <w:rPr>
          <w:rFonts w:ascii="Times New Roman" w:hAnsi="Times New Roman" w:cs="Times New Roman"/>
          <w:b/>
          <w:bCs/>
          <w:smallCaps/>
          <w:sz w:val="24"/>
          <w:szCs w:val="24"/>
        </w:rPr>
        <w:t>A Theory of Evidentiary Uncertainty and Criminal Liability</w:t>
      </w:r>
    </w:p>
    <w:p w14:paraId="71A56A45" w14:textId="638380E4" w:rsidR="00DB23F8" w:rsidRPr="0014083A" w:rsidRDefault="00DB23F8" w:rsidP="00D41AAA">
      <w:pPr>
        <w:bidi w:val="0"/>
        <w:ind w:firstLine="720"/>
        <w:jc w:val="both"/>
        <w:rPr>
          <w:rFonts w:ascii="Times New Roman" w:hAnsi="Times New Roman" w:cs="Times New Roman"/>
        </w:rPr>
      </w:pPr>
      <w:r w:rsidRPr="0014083A">
        <w:rPr>
          <w:rFonts w:ascii="Times New Roman" w:hAnsi="Times New Roman" w:cs="Times New Roman"/>
        </w:rPr>
        <w:t xml:space="preserve">This Section outlines the main proposition of this Article—that criminal law </w:t>
      </w:r>
      <w:proofErr w:type="gramStart"/>
      <w:r w:rsidRPr="0014083A">
        <w:rPr>
          <w:rFonts w:ascii="Times New Roman" w:hAnsi="Times New Roman" w:cs="Times New Roman"/>
        </w:rPr>
        <w:t>is often structured</w:t>
      </w:r>
      <w:proofErr w:type="gramEnd"/>
      <w:r w:rsidRPr="0014083A">
        <w:rPr>
          <w:rFonts w:ascii="Times New Roman" w:hAnsi="Times New Roman" w:cs="Times New Roman"/>
        </w:rPr>
        <w:t xml:space="preserve"> to create a correlation between the degree of certainty that the defendant behaved wrongfully and the magnitude of the penalty levied against him. </w:t>
      </w:r>
      <w:r>
        <w:rPr>
          <w:rFonts w:ascii="Times New Roman" w:hAnsi="Times New Roman" w:cs="Times New Roman"/>
        </w:rPr>
        <w:t xml:space="preserve">The Section </w:t>
      </w:r>
      <w:r w:rsidR="00D41AAA">
        <w:rPr>
          <w:rFonts w:ascii="Times New Roman" w:hAnsi="Times New Roman" w:cs="Times New Roman"/>
        </w:rPr>
        <w:t>opens by examining</w:t>
      </w:r>
      <w:r>
        <w:rPr>
          <w:rFonts w:ascii="Times New Roman" w:hAnsi="Times New Roman" w:cs="Times New Roman"/>
        </w:rPr>
        <w:t xml:space="preserve"> the advantages of a penal regime that calibrates sanctions in proportion to the degree of certainty of guilt, even when guilt </w:t>
      </w:r>
      <w:proofErr w:type="gramStart"/>
      <w:r>
        <w:rPr>
          <w:rFonts w:ascii="Times New Roman" w:hAnsi="Times New Roman" w:cs="Times New Roman"/>
        </w:rPr>
        <w:t>is not proven</w:t>
      </w:r>
      <w:proofErr w:type="gramEnd"/>
      <w:r>
        <w:rPr>
          <w:rFonts w:ascii="Times New Roman" w:hAnsi="Times New Roman" w:cs="Times New Roman"/>
        </w:rPr>
        <w:t xml:space="preserve"> beyond a reasonable doubt. </w:t>
      </w:r>
      <w:r w:rsidR="00D41AAA">
        <w:rPr>
          <w:rFonts w:ascii="Times New Roman" w:hAnsi="Times New Roman" w:cs="Times New Roman"/>
        </w:rPr>
        <w:t>That done</w:t>
      </w:r>
      <w:r>
        <w:rPr>
          <w:rFonts w:ascii="Times New Roman" w:hAnsi="Times New Roman" w:cs="Times New Roman"/>
        </w:rPr>
        <w:t xml:space="preserve">, the Section argues that the law can create such a calibrated penal regime by designing criminal </w:t>
      </w:r>
      <w:r w:rsidR="00296EC3">
        <w:rPr>
          <w:rFonts w:ascii="Times New Roman" w:hAnsi="Times New Roman" w:cs="Times New Roman"/>
        </w:rPr>
        <w:t>offense</w:t>
      </w:r>
      <w:r>
        <w:rPr>
          <w:rFonts w:ascii="Times New Roman" w:hAnsi="Times New Roman" w:cs="Times New Roman"/>
        </w:rPr>
        <w:t>s that incorporate evidentiary considerations</w:t>
      </w:r>
      <w:r w:rsidR="00D41AAA">
        <w:rPr>
          <w:rFonts w:ascii="Times New Roman" w:hAnsi="Times New Roman" w:cs="Times New Roman"/>
        </w:rPr>
        <w:t xml:space="preserve">. Finally, the Section addresses the main moral problem that the proposed regime raises—the potential intentional infliction of punishment to the innocent—and shows that this </w:t>
      </w:r>
      <w:r w:rsidR="0044335B">
        <w:rPr>
          <w:rFonts w:ascii="Times New Roman" w:hAnsi="Times New Roman" w:cs="Times New Roman"/>
        </w:rPr>
        <w:t xml:space="preserve">concern </w:t>
      </w:r>
      <w:r w:rsidR="00D41AAA">
        <w:rPr>
          <w:rFonts w:ascii="Times New Roman" w:hAnsi="Times New Roman" w:cs="Times New Roman"/>
        </w:rPr>
        <w:t>does pose an insurmountable obstacle</w:t>
      </w:r>
      <w:r>
        <w:rPr>
          <w:rFonts w:ascii="Times New Roman" w:hAnsi="Times New Roman" w:cs="Times New Roman"/>
        </w:rPr>
        <w:t>.</w:t>
      </w:r>
    </w:p>
    <w:p w14:paraId="7786ED77" w14:textId="77777777" w:rsidR="00DB23F8" w:rsidRPr="00B90948" w:rsidRDefault="00DB23F8" w:rsidP="00D95171">
      <w:pPr>
        <w:pStyle w:val="ListParagraph"/>
        <w:keepNext/>
        <w:numPr>
          <w:ilvl w:val="0"/>
          <w:numId w:val="8"/>
        </w:numPr>
        <w:bidi w:val="0"/>
        <w:jc w:val="both"/>
        <w:rPr>
          <w:rFonts w:ascii="Times New Roman" w:hAnsi="Times New Roman" w:cs="Times New Roman"/>
          <w:i/>
          <w:iCs/>
        </w:rPr>
      </w:pPr>
      <w:r w:rsidRPr="00B90948">
        <w:rPr>
          <w:rFonts w:ascii="Times New Roman" w:hAnsi="Times New Roman" w:cs="Times New Roman"/>
          <w:i/>
          <w:iCs/>
        </w:rPr>
        <w:t>Evidentiary Graded Criminal Sanctions</w:t>
      </w:r>
    </w:p>
    <w:p w14:paraId="0E50D449" w14:textId="77777777" w:rsidR="00DB23F8" w:rsidRDefault="00DB23F8" w:rsidP="00C50834">
      <w:pPr>
        <w:keepNext/>
        <w:bidi w:val="0"/>
        <w:ind w:firstLine="720"/>
        <w:jc w:val="both"/>
        <w:rPr>
          <w:rFonts w:ascii="Times New Roman" w:hAnsi="Times New Roman" w:cs="Times New Roman"/>
        </w:rPr>
      </w:pPr>
      <w:r>
        <w:rPr>
          <w:rFonts w:ascii="Times New Roman" w:hAnsi="Times New Roman" w:cs="Times New Roman"/>
        </w:rPr>
        <w:t xml:space="preserve">This subsection examines how sanctions </w:t>
      </w:r>
      <w:proofErr w:type="gramStart"/>
      <w:r>
        <w:rPr>
          <w:rFonts w:ascii="Times New Roman" w:hAnsi="Times New Roman" w:cs="Times New Roman"/>
        </w:rPr>
        <w:t>should be distributed</w:t>
      </w:r>
      <w:proofErr w:type="gramEnd"/>
      <w:r>
        <w:rPr>
          <w:rFonts w:ascii="Times New Roman" w:hAnsi="Times New Roman" w:cs="Times New Roman"/>
        </w:rPr>
        <w:t xml:space="preserve"> in a penal system in which the epistemic space within which convictions are permissible is enlarged due to a reduction in the burden of proof. As the analysis shows, in such a regime it might be desirable to distribute sanctions in proportion to the amount of evidence presented at trial. Within such a framework, as the degree of confidence regarding the defendant’s wrongdoing increases, so does the sanction applied to him.</w:t>
      </w:r>
    </w:p>
    <w:p w14:paraId="4DECB748" w14:textId="7FA9D7C6" w:rsidR="00DB23F8" w:rsidRPr="0014083A" w:rsidRDefault="00DB23F8" w:rsidP="00EB6D05">
      <w:pPr>
        <w:bidi w:val="0"/>
        <w:ind w:firstLine="720"/>
        <w:jc w:val="both"/>
        <w:rPr>
          <w:rFonts w:ascii="Times New Roman" w:hAnsi="Times New Roman" w:cs="Times New Roman"/>
        </w:rPr>
      </w:pPr>
      <w:r>
        <w:rPr>
          <w:rFonts w:ascii="Times New Roman" w:hAnsi="Times New Roman" w:cs="Times New Roman"/>
        </w:rPr>
        <w:t xml:space="preserve">Professor </w:t>
      </w:r>
      <w:r w:rsidRPr="0014083A">
        <w:rPr>
          <w:rFonts w:ascii="Times New Roman" w:hAnsi="Times New Roman" w:cs="Times New Roman"/>
        </w:rPr>
        <w:t xml:space="preserve">Henrik Lando laid down the case for </w:t>
      </w:r>
      <w:r w:rsidRPr="00FF2754">
        <w:rPr>
          <w:rFonts w:ascii="Times New Roman" w:hAnsi="Times New Roman" w:cs="Times New Roman"/>
        </w:rPr>
        <w:t>evidentiary graded sanctions</w:t>
      </w:r>
      <w:r w:rsidRPr="0014083A">
        <w:rPr>
          <w:rFonts w:ascii="Times New Roman" w:hAnsi="Times New Roman" w:cs="Times New Roman"/>
        </w:rPr>
        <w:t xml:space="preserve"> using a simple model.</w:t>
      </w:r>
      <w:bookmarkStart w:id="29" w:name="_Ref432077118"/>
      <w:r w:rsidRPr="0014083A">
        <w:rPr>
          <w:rStyle w:val="FootnoteReference"/>
          <w:rFonts w:ascii="Times New Roman" w:hAnsi="Times New Roman"/>
        </w:rPr>
        <w:footnoteReference w:id="85"/>
      </w:r>
      <w:bookmarkEnd w:id="29"/>
      <w:r w:rsidRPr="0014083A">
        <w:rPr>
          <w:rFonts w:ascii="Times New Roman" w:hAnsi="Times New Roman" w:cs="Times New Roman"/>
        </w:rPr>
        <w:t xml:space="preserve"> The gist of </w:t>
      </w:r>
      <w:proofErr w:type="spellStart"/>
      <w:r w:rsidRPr="0014083A">
        <w:rPr>
          <w:rFonts w:ascii="Times New Roman" w:hAnsi="Times New Roman" w:cs="Times New Roman"/>
        </w:rPr>
        <w:t>Lando’s</w:t>
      </w:r>
      <w:proofErr w:type="spellEnd"/>
      <w:r w:rsidRPr="0014083A">
        <w:rPr>
          <w:rFonts w:ascii="Times New Roman" w:hAnsi="Times New Roman" w:cs="Times New Roman"/>
        </w:rPr>
        <w:t xml:space="preserve"> argument is that there exists a positive correlation between deterrence and the certainty of guilt (i.e., </w:t>
      </w:r>
      <w:r w:rsidRPr="007409FF">
        <w:rPr>
          <w:rFonts w:ascii="Times New Roman" w:hAnsi="Times New Roman" w:cs="Times New Roman"/>
        </w:rPr>
        <w:t>punishing those who committed the crime with a higher probability</w:t>
      </w:r>
      <w:r w:rsidRPr="0014083A">
        <w:rPr>
          <w:rFonts w:ascii="Times New Roman" w:hAnsi="Times New Roman" w:cs="Times New Roman"/>
        </w:rPr>
        <w:t xml:space="preserve"> will generate greater deterrence). The intuition underlying this argument is that </w:t>
      </w:r>
      <w:r>
        <w:rPr>
          <w:rFonts w:ascii="Times New Roman" w:hAnsi="Times New Roman" w:cs="Times New Roman"/>
        </w:rPr>
        <w:t>as</w:t>
      </w:r>
      <w:r w:rsidRPr="0014083A">
        <w:rPr>
          <w:rFonts w:ascii="Times New Roman" w:hAnsi="Times New Roman" w:cs="Times New Roman"/>
        </w:rPr>
        <w:t xml:space="preserve"> punishing those whose guilt is more certain will generate more </w:t>
      </w:r>
      <w:proofErr w:type="gramStart"/>
      <w:r w:rsidRPr="0014083A">
        <w:rPr>
          <w:rFonts w:ascii="Times New Roman" w:hAnsi="Times New Roman" w:cs="Times New Roman"/>
        </w:rPr>
        <w:t>deterrence,</w:t>
      </w:r>
      <w:proofErr w:type="gramEnd"/>
      <w:r w:rsidRPr="0014083A">
        <w:rPr>
          <w:rFonts w:ascii="Times New Roman" w:hAnsi="Times New Roman" w:cs="Times New Roman"/>
        </w:rPr>
        <w:t xml:space="preserve"> it is prudent to target more sanctioning resources towards individuals</w:t>
      </w:r>
      <w:r>
        <w:rPr>
          <w:rFonts w:ascii="Times New Roman" w:hAnsi="Times New Roman" w:cs="Times New Roman"/>
        </w:rPr>
        <w:t xml:space="preserve"> whose guilt has been proven to a higher degree</w:t>
      </w:r>
      <w:r w:rsidRPr="0014083A">
        <w:rPr>
          <w:rFonts w:ascii="Times New Roman" w:hAnsi="Times New Roman" w:cs="Times New Roman"/>
        </w:rPr>
        <w:t>.</w:t>
      </w:r>
      <w:r w:rsidRPr="0014083A">
        <w:rPr>
          <w:rStyle w:val="FootnoteReference"/>
          <w:rFonts w:ascii="Times New Roman" w:hAnsi="Times New Roman"/>
        </w:rPr>
        <w:footnoteReference w:id="86"/>
      </w:r>
      <w:r w:rsidRPr="0014083A">
        <w:rPr>
          <w:rFonts w:ascii="Times New Roman" w:hAnsi="Times New Roman" w:cs="Times New Roman"/>
        </w:rPr>
        <w:t xml:space="preserve"> </w:t>
      </w:r>
      <w:r>
        <w:rPr>
          <w:rFonts w:ascii="Times New Roman" w:hAnsi="Times New Roman" w:cs="Times New Roman"/>
        </w:rPr>
        <w:t>A</w:t>
      </w:r>
      <w:r w:rsidRPr="00B90948">
        <w:rPr>
          <w:rFonts w:ascii="Times New Roman" w:hAnsi="Times New Roman" w:cs="Times New Roman"/>
        </w:rPr>
        <w:t xml:space="preserve">s </w:t>
      </w:r>
      <w:r w:rsidR="00EB6D05">
        <w:rPr>
          <w:rFonts w:ascii="Times New Roman" w:hAnsi="Times New Roman" w:cs="Times New Roman"/>
        </w:rPr>
        <w:t>was later</w:t>
      </w:r>
      <w:r w:rsidRPr="00B90948">
        <w:rPr>
          <w:rFonts w:ascii="Times New Roman" w:hAnsi="Times New Roman" w:cs="Times New Roman"/>
        </w:rPr>
        <w:t xml:space="preserve"> highlighted</w:t>
      </w:r>
      <w:r w:rsidR="00EB6D05">
        <w:rPr>
          <w:rFonts w:ascii="Times New Roman" w:hAnsi="Times New Roman" w:cs="Times New Roman"/>
        </w:rPr>
        <w:t xml:space="preserve"> by the literature</w:t>
      </w:r>
      <w:r w:rsidRPr="00B90948">
        <w:rPr>
          <w:rFonts w:ascii="Times New Roman" w:hAnsi="Times New Roman" w:cs="Times New Roman"/>
        </w:rPr>
        <w:t xml:space="preserve">, </w:t>
      </w:r>
      <w:r>
        <w:rPr>
          <w:rFonts w:ascii="Times New Roman" w:hAnsi="Times New Roman" w:cs="Times New Roman"/>
        </w:rPr>
        <w:t>t</w:t>
      </w:r>
      <w:r w:rsidRPr="0014083A">
        <w:rPr>
          <w:rFonts w:ascii="Times New Roman" w:hAnsi="Times New Roman" w:cs="Times New Roman"/>
        </w:rPr>
        <w:t xml:space="preserve">he problem with this argument is that it assumes sanctions </w:t>
      </w:r>
      <w:proofErr w:type="gramStart"/>
      <w:r w:rsidRPr="0014083A">
        <w:rPr>
          <w:rFonts w:ascii="Times New Roman" w:hAnsi="Times New Roman" w:cs="Times New Roman"/>
        </w:rPr>
        <w:t>should be distributed</w:t>
      </w:r>
      <w:proofErr w:type="gramEnd"/>
      <w:r w:rsidRPr="0014083A">
        <w:rPr>
          <w:rFonts w:ascii="Times New Roman" w:hAnsi="Times New Roman" w:cs="Times New Roman"/>
        </w:rPr>
        <w:t xml:space="preserve"> among </w:t>
      </w:r>
      <w:r>
        <w:rPr>
          <w:rFonts w:ascii="Times New Roman" w:hAnsi="Times New Roman" w:cs="Times New Roman"/>
        </w:rPr>
        <w:t xml:space="preserve">all </w:t>
      </w:r>
      <w:r w:rsidRPr="0014083A">
        <w:rPr>
          <w:rFonts w:ascii="Times New Roman" w:hAnsi="Times New Roman" w:cs="Times New Roman"/>
        </w:rPr>
        <w:t xml:space="preserve">defendants and ignores the possibility of concentrating sanctioning resources only on those whose guilt </w:t>
      </w:r>
      <w:r>
        <w:rPr>
          <w:rFonts w:ascii="Times New Roman" w:hAnsi="Times New Roman" w:cs="Times New Roman"/>
        </w:rPr>
        <w:t>has been</w:t>
      </w:r>
      <w:r w:rsidRPr="0014083A">
        <w:rPr>
          <w:rFonts w:ascii="Times New Roman" w:hAnsi="Times New Roman" w:cs="Times New Roman"/>
        </w:rPr>
        <w:t xml:space="preserve"> proven at the highest </w:t>
      </w:r>
      <w:r w:rsidRPr="0014083A">
        <w:rPr>
          <w:rFonts w:ascii="Times New Roman" w:hAnsi="Times New Roman" w:cs="Times New Roman"/>
        </w:rPr>
        <w:lastRenderedPageBreak/>
        <w:t>level.</w:t>
      </w:r>
      <w:bookmarkStart w:id="30" w:name="_Ref435963920"/>
      <w:r w:rsidRPr="0014083A">
        <w:rPr>
          <w:rStyle w:val="FootnoteReference"/>
          <w:rFonts w:ascii="Times New Roman" w:hAnsi="Times New Roman"/>
        </w:rPr>
        <w:footnoteReference w:id="87"/>
      </w:r>
      <w:bookmarkEnd w:id="30"/>
      <w:r w:rsidRPr="0014083A">
        <w:rPr>
          <w:rFonts w:ascii="Times New Roman" w:hAnsi="Times New Roman" w:cs="Times New Roman"/>
        </w:rPr>
        <w:t xml:space="preserve"> In fact, it </w:t>
      </w:r>
      <w:proofErr w:type="gramStart"/>
      <w:r w:rsidRPr="0014083A">
        <w:rPr>
          <w:rFonts w:ascii="Times New Roman" w:hAnsi="Times New Roman" w:cs="Times New Roman"/>
        </w:rPr>
        <w:t>can be shown</w:t>
      </w:r>
      <w:proofErr w:type="gramEnd"/>
      <w:r w:rsidRPr="0014083A">
        <w:rPr>
          <w:rFonts w:ascii="Times New Roman" w:hAnsi="Times New Roman" w:cs="Times New Roman"/>
        </w:rPr>
        <w:t xml:space="preserve"> that such a sanctioning regime, which in effect mirrors the practice of punishing only defendants whose guilt </w:t>
      </w:r>
      <w:r>
        <w:rPr>
          <w:rFonts w:ascii="Times New Roman" w:hAnsi="Times New Roman" w:cs="Times New Roman"/>
        </w:rPr>
        <w:t>has been</w:t>
      </w:r>
      <w:r w:rsidRPr="0014083A">
        <w:rPr>
          <w:rFonts w:ascii="Times New Roman" w:hAnsi="Times New Roman" w:cs="Times New Roman"/>
        </w:rPr>
        <w:t xml:space="preserve"> proven beyond a reasonable doubt, can elevate expected sanctions.</w:t>
      </w:r>
      <w:r w:rsidRPr="0014083A">
        <w:rPr>
          <w:rStyle w:val="FootnoteReference"/>
          <w:rFonts w:ascii="Times New Roman" w:hAnsi="Times New Roman"/>
        </w:rPr>
        <w:footnoteReference w:id="88"/>
      </w:r>
      <w:r w:rsidRPr="0014083A">
        <w:rPr>
          <w:rFonts w:ascii="Times New Roman" w:hAnsi="Times New Roman" w:cs="Times New Roman"/>
        </w:rPr>
        <w:t xml:space="preserve"> </w:t>
      </w:r>
    </w:p>
    <w:p w14:paraId="0D4018EE" w14:textId="1041E216" w:rsidR="00DB23F8" w:rsidRPr="0014083A" w:rsidRDefault="00EB6D05" w:rsidP="00EB6D05">
      <w:pPr>
        <w:bidi w:val="0"/>
        <w:ind w:firstLine="720"/>
        <w:jc w:val="both"/>
        <w:rPr>
          <w:rFonts w:ascii="Times New Roman" w:hAnsi="Times New Roman" w:cs="Times New Roman"/>
        </w:rPr>
      </w:pPr>
      <w:r>
        <w:rPr>
          <w:rFonts w:ascii="Times New Roman" w:hAnsi="Times New Roman" w:cs="Times New Roman"/>
        </w:rPr>
        <w:t xml:space="preserve">Building on </w:t>
      </w:r>
      <w:proofErr w:type="spellStart"/>
      <w:r>
        <w:rPr>
          <w:rFonts w:ascii="Times New Roman" w:hAnsi="Times New Roman" w:cs="Times New Roman"/>
        </w:rPr>
        <w:t>Lando’s</w:t>
      </w:r>
      <w:proofErr w:type="spellEnd"/>
      <w:r>
        <w:rPr>
          <w:rFonts w:ascii="Times New Roman" w:hAnsi="Times New Roman" w:cs="Times New Roman"/>
        </w:rPr>
        <w:t xml:space="preserve"> initial point, </w:t>
      </w:r>
      <w:r w:rsidR="00DB23F8" w:rsidRPr="0014083A">
        <w:rPr>
          <w:rFonts w:ascii="Times New Roman" w:hAnsi="Times New Roman" w:cs="Times New Roman"/>
        </w:rPr>
        <w:t xml:space="preserve">Fisher elaborated on the deterrence advantages associated with </w:t>
      </w:r>
      <w:r w:rsidR="00DB23F8" w:rsidRPr="00FF2754">
        <w:rPr>
          <w:rFonts w:ascii="Times New Roman" w:hAnsi="Times New Roman" w:cs="Times New Roman"/>
        </w:rPr>
        <w:t>evidentiary graded punishments</w:t>
      </w:r>
      <w:r w:rsidR="00DB23F8" w:rsidRPr="0014083A">
        <w:rPr>
          <w:rFonts w:ascii="Times New Roman" w:hAnsi="Times New Roman" w:cs="Times New Roman"/>
        </w:rPr>
        <w:t>.</w:t>
      </w:r>
      <w:r w:rsidR="00DB23F8" w:rsidRPr="0014083A">
        <w:rPr>
          <w:rStyle w:val="FootnoteReference"/>
          <w:rFonts w:ascii="Times New Roman" w:hAnsi="Times New Roman"/>
        </w:rPr>
        <w:footnoteReference w:id="89"/>
      </w:r>
      <w:r w:rsidR="00DB23F8" w:rsidRPr="0014083A">
        <w:rPr>
          <w:rFonts w:ascii="Times New Roman" w:hAnsi="Times New Roman" w:cs="Times New Roman"/>
        </w:rPr>
        <w:t xml:space="preserve"> Her key point relates to offenders</w:t>
      </w:r>
      <w:r w:rsidR="00DB23F8">
        <w:rPr>
          <w:rFonts w:ascii="Times New Roman" w:hAnsi="Times New Roman" w:cs="Times New Roman"/>
        </w:rPr>
        <w:t>’</w:t>
      </w:r>
      <w:r w:rsidR="00DB23F8" w:rsidRPr="0014083A">
        <w:rPr>
          <w:rFonts w:ascii="Times New Roman" w:hAnsi="Times New Roman" w:cs="Times New Roman"/>
        </w:rPr>
        <w:t xml:space="preserve"> risk preferences. As she </w:t>
      </w:r>
      <w:r w:rsidR="00DB23F8">
        <w:rPr>
          <w:rFonts w:ascii="Times New Roman" w:hAnsi="Times New Roman" w:cs="Times New Roman"/>
        </w:rPr>
        <w:t>states</w:t>
      </w:r>
      <w:r w:rsidR="00DB23F8" w:rsidRPr="0014083A">
        <w:rPr>
          <w:rFonts w:ascii="Times New Roman" w:hAnsi="Times New Roman" w:cs="Times New Roman"/>
        </w:rPr>
        <w:t>, given the fact that the last year of a prison term generally cause</w:t>
      </w:r>
      <w:r w:rsidR="00DB23F8">
        <w:rPr>
          <w:rFonts w:ascii="Times New Roman" w:hAnsi="Times New Roman" w:cs="Times New Roman"/>
        </w:rPr>
        <w:t>s</w:t>
      </w:r>
      <w:r w:rsidR="00DB23F8" w:rsidRPr="0014083A">
        <w:rPr>
          <w:rFonts w:ascii="Times New Roman" w:hAnsi="Times New Roman" w:cs="Times New Roman"/>
        </w:rPr>
        <w:t xml:space="preserve"> less disutility than the first</w:t>
      </w:r>
      <w:r w:rsidR="00DB23F8">
        <w:rPr>
          <w:rFonts w:ascii="Times New Roman" w:hAnsi="Times New Roman" w:cs="Times New Roman"/>
        </w:rPr>
        <w:t xml:space="preserve"> year</w:t>
      </w:r>
      <w:r w:rsidR="00DB23F8" w:rsidRPr="0014083A">
        <w:rPr>
          <w:rFonts w:ascii="Times New Roman" w:hAnsi="Times New Roman" w:cs="Times New Roman"/>
        </w:rPr>
        <w:t xml:space="preserve"> </w:t>
      </w:r>
      <w:r w:rsidR="00DB23F8">
        <w:rPr>
          <w:rFonts w:ascii="Times New Roman" w:hAnsi="Times New Roman" w:cs="Times New Roman"/>
        </w:rPr>
        <w:t>because offenders slowly adapt to the harsh living environment</w:t>
      </w:r>
      <w:r w:rsidR="00DB23F8" w:rsidRPr="0014083A">
        <w:rPr>
          <w:rFonts w:ascii="Times New Roman" w:hAnsi="Times New Roman" w:cs="Times New Roman"/>
        </w:rPr>
        <w:t xml:space="preserve">, potential offenders </w:t>
      </w:r>
      <w:proofErr w:type="gramStart"/>
      <w:r w:rsidR="00DB23F8" w:rsidRPr="0014083A">
        <w:rPr>
          <w:rFonts w:ascii="Times New Roman" w:hAnsi="Times New Roman" w:cs="Times New Roman"/>
        </w:rPr>
        <w:t>are expected</w:t>
      </w:r>
      <w:proofErr w:type="gramEnd"/>
      <w:r w:rsidR="00DB23F8" w:rsidRPr="0014083A">
        <w:rPr>
          <w:rFonts w:ascii="Times New Roman" w:hAnsi="Times New Roman" w:cs="Times New Roman"/>
        </w:rPr>
        <w:t xml:space="preserve"> to exhibit risk</w:t>
      </w:r>
      <w:r w:rsidR="00DB23F8">
        <w:rPr>
          <w:rFonts w:ascii="Times New Roman" w:hAnsi="Times New Roman" w:cs="Times New Roman"/>
        </w:rPr>
        <w:t>-</w:t>
      </w:r>
      <w:r w:rsidR="00DB23F8" w:rsidRPr="0014083A">
        <w:rPr>
          <w:rFonts w:ascii="Times New Roman" w:hAnsi="Times New Roman" w:cs="Times New Roman"/>
        </w:rPr>
        <w:t>seeking behavior.</w:t>
      </w:r>
      <w:r w:rsidR="00DB23F8">
        <w:rPr>
          <w:rStyle w:val="FootnoteReference"/>
          <w:rFonts w:ascii="Times New Roman" w:hAnsi="Times New Roman"/>
        </w:rPr>
        <w:footnoteReference w:id="90"/>
      </w:r>
      <w:r w:rsidR="00DB23F8" w:rsidRPr="0014083A">
        <w:rPr>
          <w:rFonts w:ascii="Times New Roman" w:hAnsi="Times New Roman" w:cs="Times New Roman"/>
        </w:rPr>
        <w:t xml:space="preserve"> This</w:t>
      </w:r>
      <w:r w:rsidR="00DB23F8">
        <w:rPr>
          <w:rFonts w:ascii="Times New Roman" w:hAnsi="Times New Roman" w:cs="Times New Roman"/>
        </w:rPr>
        <w:t xml:space="preserve"> </w:t>
      </w:r>
      <w:r w:rsidR="00DB23F8" w:rsidRPr="0014083A">
        <w:rPr>
          <w:rFonts w:ascii="Times New Roman" w:hAnsi="Times New Roman" w:cs="Times New Roman"/>
        </w:rPr>
        <w:t>suggests that</w:t>
      </w:r>
      <w:r w:rsidR="00DB23F8">
        <w:rPr>
          <w:rFonts w:ascii="Times New Roman" w:hAnsi="Times New Roman" w:cs="Times New Roman"/>
        </w:rPr>
        <w:t>,</w:t>
      </w:r>
      <w:r w:rsidR="00DB23F8" w:rsidRPr="0014083A">
        <w:rPr>
          <w:rFonts w:ascii="Times New Roman" w:hAnsi="Times New Roman" w:cs="Times New Roman"/>
        </w:rPr>
        <w:t xml:space="preserve"> holding expected sanctions constant, a sanctioning regime based on lower sanctions applied with a higher probability will generate greater deterrence.</w:t>
      </w:r>
      <w:r w:rsidR="00DB23F8" w:rsidRPr="0014083A">
        <w:rPr>
          <w:rStyle w:val="FootnoteReference"/>
          <w:rFonts w:ascii="Times New Roman" w:hAnsi="Times New Roman"/>
        </w:rPr>
        <w:footnoteReference w:id="91"/>
      </w:r>
      <w:r w:rsidR="00DB23F8" w:rsidRPr="0014083A">
        <w:rPr>
          <w:rFonts w:ascii="Times New Roman" w:hAnsi="Times New Roman" w:cs="Times New Roman"/>
        </w:rPr>
        <w:t xml:space="preserve"> Th</w:t>
      </w:r>
      <w:r w:rsidR="00DB23F8">
        <w:rPr>
          <w:rFonts w:ascii="Times New Roman" w:hAnsi="Times New Roman" w:cs="Times New Roman"/>
        </w:rPr>
        <w:t>erefore</w:t>
      </w:r>
      <w:r w:rsidR="00DB23F8" w:rsidRPr="0014083A">
        <w:rPr>
          <w:rFonts w:ascii="Times New Roman" w:hAnsi="Times New Roman" w:cs="Times New Roman"/>
        </w:rPr>
        <w:t>, Fisher argues, a</w:t>
      </w:r>
      <w:r w:rsidR="00DB23F8">
        <w:rPr>
          <w:rFonts w:ascii="Times New Roman" w:hAnsi="Times New Roman" w:cs="Times New Roman"/>
        </w:rPr>
        <w:t>n</w:t>
      </w:r>
      <w:r w:rsidR="00DB23F8" w:rsidRPr="0014083A">
        <w:rPr>
          <w:rFonts w:ascii="Times New Roman" w:hAnsi="Times New Roman" w:cs="Times New Roman"/>
        </w:rPr>
        <w:t xml:space="preserve"> </w:t>
      </w:r>
      <w:r w:rsidR="00DB23F8">
        <w:rPr>
          <w:rFonts w:ascii="Times New Roman" w:hAnsi="Times New Roman" w:cs="Times New Roman"/>
        </w:rPr>
        <w:t>evidentiary graded</w:t>
      </w:r>
      <w:r w:rsidR="00DB23F8" w:rsidRPr="0014083A">
        <w:rPr>
          <w:rFonts w:ascii="Times New Roman" w:hAnsi="Times New Roman" w:cs="Times New Roman"/>
        </w:rPr>
        <w:t xml:space="preserve"> penal regime that entails lower sanctions coupled with a higher probability of punishment will create more deterrence.</w:t>
      </w:r>
      <w:r w:rsidR="00DB23F8">
        <w:rPr>
          <w:rStyle w:val="FootnoteReference"/>
          <w:rFonts w:ascii="Times New Roman" w:hAnsi="Times New Roman"/>
        </w:rPr>
        <w:footnoteReference w:id="92"/>
      </w:r>
    </w:p>
    <w:p w14:paraId="6F0918C8" w14:textId="627BF624" w:rsidR="00DB23F8" w:rsidRDefault="009A73CA" w:rsidP="009A73CA">
      <w:pPr>
        <w:bidi w:val="0"/>
        <w:ind w:firstLine="720"/>
        <w:jc w:val="both"/>
        <w:rPr>
          <w:rFonts w:ascii="Times New Roman" w:hAnsi="Times New Roman" w:cs="Times New Roman"/>
        </w:rPr>
      </w:pPr>
      <w:r>
        <w:rPr>
          <w:rFonts w:ascii="Times New Roman" w:hAnsi="Times New Roman" w:cs="Times New Roman"/>
        </w:rPr>
        <w:t xml:space="preserve">One should notice, however, that this argument </w:t>
      </w:r>
      <w:r w:rsidR="00DB23F8" w:rsidRPr="0014083A">
        <w:rPr>
          <w:rFonts w:ascii="Times New Roman" w:hAnsi="Times New Roman" w:cs="Times New Roman"/>
        </w:rPr>
        <w:t xml:space="preserve">only holds with respect to incarceration. Once the analysis attempts to incorporate milder sanctions </w:t>
      </w:r>
      <w:r w:rsidR="00DB23F8">
        <w:rPr>
          <w:rFonts w:ascii="Times New Roman" w:hAnsi="Times New Roman" w:cs="Times New Roman"/>
        </w:rPr>
        <w:t>such as fines</w:t>
      </w:r>
      <w:r w:rsidR="00DB23F8" w:rsidRPr="007F1F70">
        <w:rPr>
          <w:rFonts w:ascii="Times New Roman" w:hAnsi="Times New Roman" w:cs="Times New Roman"/>
        </w:rPr>
        <w:t xml:space="preserve"> </w:t>
      </w:r>
      <w:r w:rsidR="00DB23F8" w:rsidRPr="0014083A">
        <w:rPr>
          <w:rFonts w:ascii="Times New Roman" w:hAnsi="Times New Roman" w:cs="Times New Roman"/>
        </w:rPr>
        <w:t>into the model</w:t>
      </w:r>
      <w:r>
        <w:rPr>
          <w:rFonts w:ascii="Times New Roman" w:hAnsi="Times New Roman" w:cs="Times New Roman"/>
        </w:rPr>
        <w:t xml:space="preserve"> (and incorporating such sanctions into the model is a necessity in the context of cases involving high evidentiary uncertainty)</w:t>
      </w:r>
      <w:r w:rsidR="00DB23F8" w:rsidRPr="0014083A">
        <w:rPr>
          <w:rFonts w:ascii="Times New Roman" w:hAnsi="Times New Roman" w:cs="Times New Roman"/>
        </w:rPr>
        <w:t xml:space="preserve">, then the assumption </w:t>
      </w:r>
      <w:r w:rsidR="00DB23F8">
        <w:rPr>
          <w:rFonts w:ascii="Times New Roman" w:hAnsi="Times New Roman" w:cs="Times New Roman"/>
        </w:rPr>
        <w:t xml:space="preserve">of </w:t>
      </w:r>
      <w:r w:rsidR="00DB23F8" w:rsidRPr="0014083A">
        <w:rPr>
          <w:rFonts w:ascii="Times New Roman" w:hAnsi="Times New Roman" w:cs="Times New Roman"/>
        </w:rPr>
        <w:t>risk</w:t>
      </w:r>
      <w:r w:rsidR="00DB23F8">
        <w:rPr>
          <w:rFonts w:ascii="Times New Roman" w:hAnsi="Times New Roman" w:cs="Times New Roman"/>
        </w:rPr>
        <w:t>-</w:t>
      </w:r>
      <w:r w:rsidR="00DB23F8" w:rsidRPr="0014083A">
        <w:rPr>
          <w:rFonts w:ascii="Times New Roman" w:hAnsi="Times New Roman" w:cs="Times New Roman"/>
        </w:rPr>
        <w:t>seeking behavior no longer holds</w:t>
      </w:r>
      <w:r>
        <w:rPr>
          <w:rFonts w:ascii="Times New Roman" w:hAnsi="Times New Roman" w:cs="Times New Roman"/>
        </w:rPr>
        <w:t xml:space="preserve"> since this assumption</w:t>
      </w:r>
      <w:r w:rsidR="00DB23F8">
        <w:rPr>
          <w:rFonts w:ascii="Times New Roman" w:hAnsi="Times New Roman" w:cs="Times New Roman"/>
        </w:rPr>
        <w:t xml:space="preserve"> builds on the unique way in which offenders experience prison time. When dealing with monetary sanctions, defendants </w:t>
      </w:r>
      <w:proofErr w:type="gramStart"/>
      <w:r w:rsidR="00DB23F8">
        <w:rPr>
          <w:rFonts w:ascii="Times New Roman" w:hAnsi="Times New Roman" w:cs="Times New Roman"/>
        </w:rPr>
        <w:t>are expected</w:t>
      </w:r>
      <w:proofErr w:type="gramEnd"/>
      <w:r w:rsidR="00DB23F8">
        <w:rPr>
          <w:rFonts w:ascii="Times New Roman" w:hAnsi="Times New Roman" w:cs="Times New Roman"/>
        </w:rPr>
        <w:t xml:space="preserve"> to exhibit risk aversion because the utility people derive from money tends to diminish at the margin.</w:t>
      </w:r>
      <w:r w:rsidR="00DB23F8">
        <w:rPr>
          <w:rStyle w:val="FootnoteReference"/>
          <w:rFonts w:ascii="Times New Roman" w:hAnsi="Times New Roman"/>
        </w:rPr>
        <w:footnoteReference w:id="93"/>
      </w:r>
      <w:r w:rsidR="00DB23F8">
        <w:rPr>
          <w:rFonts w:ascii="Times New Roman" w:hAnsi="Times New Roman" w:cs="Times New Roman"/>
        </w:rPr>
        <w:t xml:space="preserve"> If this is the case, then a high-sanction, low-probability regime might actually generate more deterrence, as potential criminals </w:t>
      </w:r>
      <w:proofErr w:type="gramStart"/>
      <w:r w:rsidR="00DB23F8">
        <w:rPr>
          <w:rFonts w:ascii="Times New Roman" w:hAnsi="Times New Roman" w:cs="Times New Roman"/>
        </w:rPr>
        <w:t>will be deterred</w:t>
      </w:r>
      <w:proofErr w:type="gramEnd"/>
      <w:r w:rsidR="00DB23F8">
        <w:rPr>
          <w:rFonts w:ascii="Times New Roman" w:hAnsi="Times New Roman" w:cs="Times New Roman"/>
        </w:rPr>
        <w:t xml:space="preserve"> by the risk created within this high-stakes gamble.</w:t>
      </w:r>
      <w:r w:rsidR="00DB23F8">
        <w:rPr>
          <w:rStyle w:val="FootnoteReference"/>
          <w:rFonts w:ascii="Times New Roman" w:hAnsi="Times New Roman"/>
        </w:rPr>
        <w:footnoteReference w:id="94"/>
      </w:r>
      <w:r w:rsidR="00DB23F8">
        <w:rPr>
          <w:rFonts w:ascii="Times New Roman" w:hAnsi="Times New Roman" w:cs="Times New Roman"/>
        </w:rPr>
        <w:t xml:space="preserve"> </w:t>
      </w:r>
      <w:r>
        <w:rPr>
          <w:rFonts w:ascii="Times New Roman" w:hAnsi="Times New Roman" w:cs="Times New Roman"/>
        </w:rPr>
        <w:t xml:space="preserve">Thus, to support a general theory of evidentiary graded sanctions, one must tie the theory to considerations that go beyond the </w:t>
      </w:r>
      <w:r w:rsidRPr="007409FF">
        <w:rPr>
          <w:rFonts w:ascii="Times New Roman" w:hAnsi="Times New Roman" w:cs="Times New Roman"/>
        </w:rPr>
        <w:t>narrow point</w:t>
      </w:r>
      <w:r>
        <w:rPr>
          <w:rFonts w:ascii="Times New Roman" w:hAnsi="Times New Roman" w:cs="Times New Roman"/>
        </w:rPr>
        <w:t xml:space="preserve"> regarding the way in which people perceive prison.</w:t>
      </w:r>
    </w:p>
    <w:p w14:paraId="25ACAE29" w14:textId="77777777" w:rsidR="00DB23F8" w:rsidRDefault="00DB23F8" w:rsidP="00160D42">
      <w:pPr>
        <w:bidi w:val="0"/>
        <w:ind w:firstLine="720"/>
        <w:jc w:val="both"/>
        <w:rPr>
          <w:rFonts w:ascii="Times New Roman" w:hAnsi="Times New Roman" w:cs="Times New Roman"/>
        </w:rPr>
      </w:pPr>
      <w:r>
        <w:rPr>
          <w:rFonts w:ascii="Times New Roman" w:hAnsi="Times New Roman" w:cs="Times New Roman"/>
        </w:rPr>
        <w:t xml:space="preserve">There are three distinct arguments that offer a general justification for the grading of all sanctions based on the amount of evidence presented. One explanation stems from the risk of chilling benign behavior. As noted above, the relationship between the burden of proof, deterring wrongful behavior, and chilling benign behavior </w:t>
      </w:r>
      <w:proofErr w:type="gramStart"/>
      <w:r>
        <w:rPr>
          <w:rFonts w:ascii="Times New Roman" w:hAnsi="Times New Roman" w:cs="Times New Roman"/>
        </w:rPr>
        <w:t>has been discussed</w:t>
      </w:r>
      <w:proofErr w:type="gramEnd"/>
      <w:r>
        <w:rPr>
          <w:rFonts w:ascii="Times New Roman" w:hAnsi="Times New Roman" w:cs="Times New Roman"/>
        </w:rPr>
        <w:t xml:space="preserve"> at length by Kaplow.</w:t>
      </w:r>
      <w:r>
        <w:rPr>
          <w:rStyle w:val="FootnoteReference"/>
          <w:rFonts w:ascii="Times New Roman" w:hAnsi="Times New Roman"/>
        </w:rPr>
        <w:footnoteReference w:id="95"/>
      </w:r>
      <w:r>
        <w:rPr>
          <w:rFonts w:ascii="Times New Roman" w:hAnsi="Times New Roman" w:cs="Times New Roman"/>
        </w:rPr>
        <w:t xml:space="preserve"> The key factor in Kaplow’s analysis is that the burden of proof influences peoples’ ex ante decisions regarding how to behave. More specifically, as the burden is reduced, wrongful behavior </w:t>
      </w:r>
      <w:proofErr w:type="gramStart"/>
      <w:r>
        <w:rPr>
          <w:rFonts w:ascii="Times New Roman" w:hAnsi="Times New Roman" w:cs="Times New Roman"/>
        </w:rPr>
        <w:t>is deterred</w:t>
      </w:r>
      <w:proofErr w:type="gramEnd"/>
      <w:r>
        <w:rPr>
          <w:rFonts w:ascii="Times New Roman" w:hAnsi="Times New Roman" w:cs="Times New Roman"/>
        </w:rPr>
        <w:t xml:space="preserve"> because the probability of legal liability is increased. At the same time, however, reducing the burden also entails more chilling benign behavior for the same </w:t>
      </w:r>
      <w:r>
        <w:rPr>
          <w:rFonts w:ascii="Times New Roman" w:hAnsi="Times New Roman" w:cs="Times New Roman"/>
        </w:rPr>
        <w:lastRenderedPageBreak/>
        <w:t xml:space="preserve">reason. The burden of proof </w:t>
      </w:r>
      <w:proofErr w:type="gramStart"/>
      <w:r>
        <w:rPr>
          <w:rFonts w:ascii="Times New Roman" w:hAnsi="Times New Roman" w:cs="Times New Roman"/>
        </w:rPr>
        <w:t>is thus bestowed</w:t>
      </w:r>
      <w:proofErr w:type="gramEnd"/>
      <w:r>
        <w:rPr>
          <w:rFonts w:ascii="Times New Roman" w:hAnsi="Times New Roman" w:cs="Times New Roman"/>
        </w:rPr>
        <w:t xml:space="preserve"> with the task of balancing between these two competing policy goals. </w:t>
      </w:r>
    </w:p>
    <w:p w14:paraId="6CA210FE" w14:textId="77777777" w:rsidR="00DB23F8" w:rsidRDefault="00DB23F8" w:rsidP="008E5B29">
      <w:pPr>
        <w:bidi w:val="0"/>
        <w:ind w:firstLine="720"/>
        <w:jc w:val="both"/>
        <w:rPr>
          <w:rFonts w:ascii="Times New Roman" w:hAnsi="Times New Roman" w:cs="Times New Roman"/>
          <w:rtl/>
        </w:rPr>
      </w:pPr>
      <w:r>
        <w:rPr>
          <w:rFonts w:ascii="Times New Roman" w:hAnsi="Times New Roman" w:cs="Times New Roman"/>
        </w:rPr>
        <w:t>Given this complex relationship, it is not possible to render a definitive answer regarding the optimal calibration between the burden of proof and the level of sanctions.</w:t>
      </w:r>
      <w:r>
        <w:rPr>
          <w:rStyle w:val="FootnoteReference"/>
          <w:rFonts w:ascii="Times New Roman" w:hAnsi="Times New Roman"/>
        </w:rPr>
        <w:footnoteReference w:id="96"/>
      </w:r>
      <w:r>
        <w:rPr>
          <w:rFonts w:ascii="Times New Roman" w:hAnsi="Times New Roman" w:cs="Times New Roman"/>
        </w:rPr>
        <w:t xml:space="preserve"> Nonetheless, at a minimum, the analysis does show that calibrating sanctions to the amount of evidence presented could sometimes be desirable.</w:t>
      </w:r>
      <w:r>
        <w:rPr>
          <w:rStyle w:val="FootnoteReference"/>
          <w:rFonts w:ascii="Times New Roman" w:hAnsi="Times New Roman"/>
        </w:rPr>
        <w:footnoteReference w:id="97"/>
      </w:r>
      <w:r>
        <w:rPr>
          <w:rFonts w:ascii="Times New Roman" w:hAnsi="Times New Roman" w:cs="Times New Roman"/>
        </w:rPr>
        <w:t xml:space="preserve"> Since the level of chilling </w:t>
      </w:r>
      <w:proofErr w:type="gramStart"/>
      <w:r>
        <w:rPr>
          <w:rFonts w:ascii="Times New Roman" w:hAnsi="Times New Roman" w:cs="Times New Roman"/>
        </w:rPr>
        <w:t>is tied</w:t>
      </w:r>
      <w:proofErr w:type="gramEnd"/>
      <w:r>
        <w:rPr>
          <w:rFonts w:ascii="Times New Roman" w:hAnsi="Times New Roman" w:cs="Times New Roman"/>
        </w:rPr>
        <w:t xml:space="preserve"> to the benefit people derive from benign behavior, lower sanctions entail less of a chilling effect. As a result, </w:t>
      </w:r>
      <w:r w:rsidR="008E5B29">
        <w:rPr>
          <w:rFonts w:ascii="Times New Roman" w:hAnsi="Times New Roman" w:cs="Times New Roman"/>
        </w:rPr>
        <w:t>fewer</w:t>
      </w:r>
      <w:r>
        <w:rPr>
          <w:rFonts w:ascii="Times New Roman" w:hAnsi="Times New Roman" w:cs="Times New Roman"/>
        </w:rPr>
        <w:t xml:space="preserve"> benign activities </w:t>
      </w:r>
      <w:proofErr w:type="gramStart"/>
      <w:r>
        <w:rPr>
          <w:rFonts w:ascii="Times New Roman" w:hAnsi="Times New Roman" w:cs="Times New Roman"/>
        </w:rPr>
        <w:t>will be influenced</w:t>
      </w:r>
      <w:proofErr w:type="gramEnd"/>
      <w:r>
        <w:rPr>
          <w:rFonts w:ascii="Times New Roman" w:hAnsi="Times New Roman" w:cs="Times New Roman"/>
        </w:rPr>
        <w:t xml:space="preserve"> by erroneous legal decisions if the sanctions attached to those decisions are reduced.</w:t>
      </w:r>
    </w:p>
    <w:p w14:paraId="2072BFA9" w14:textId="489EB771" w:rsidR="00DB23F8" w:rsidRDefault="00DB23F8" w:rsidP="00230D07">
      <w:pPr>
        <w:bidi w:val="0"/>
        <w:ind w:firstLine="720"/>
        <w:jc w:val="both"/>
        <w:rPr>
          <w:rFonts w:ascii="Times New Roman" w:hAnsi="Times New Roman" w:cs="Times New Roman"/>
        </w:rPr>
      </w:pPr>
      <w:r>
        <w:rPr>
          <w:rFonts w:ascii="Times New Roman" w:hAnsi="Times New Roman" w:cs="Times New Roman"/>
        </w:rPr>
        <w:t>Another explanation stems from situations involving systematic proof problems.</w:t>
      </w:r>
      <w:r w:rsidR="009A73CA">
        <w:rPr>
          <w:rStyle w:val="FootnoteReference"/>
          <w:rFonts w:ascii="Times New Roman" w:hAnsi="Times New Roman"/>
        </w:rPr>
        <w:footnoteReference w:id="98"/>
      </w:r>
      <w:r>
        <w:rPr>
          <w:rFonts w:ascii="Times New Roman" w:hAnsi="Times New Roman" w:cs="Times New Roman"/>
        </w:rPr>
        <w:t xml:space="preserve"> In this regard, criminal law could learn from the insights of the literature examining the pros and cons of basing civil liability on the preponderance of the evidence. Scholars advocating the use of the preponderance standard have shown its ability to minimize the ex post costs of erroneous allocation of liability.</w:t>
      </w:r>
      <w:r>
        <w:rPr>
          <w:rStyle w:val="FootnoteReference"/>
          <w:rFonts w:ascii="Times New Roman" w:hAnsi="Times New Roman"/>
        </w:rPr>
        <w:footnoteReference w:id="99"/>
      </w:r>
      <w:r>
        <w:rPr>
          <w:rFonts w:ascii="Times New Roman" w:hAnsi="Times New Roman" w:cs="Times New Roman"/>
        </w:rPr>
        <w:t xml:space="preserve"> Researchers writing from an economic perspective later highlighted that notwithstanding this important benefit, the rule also creates problematic incentives ex ante.</w:t>
      </w:r>
      <w:r>
        <w:rPr>
          <w:rStyle w:val="FootnoteReference"/>
          <w:rFonts w:ascii="Times New Roman" w:hAnsi="Times New Roman"/>
        </w:rPr>
        <w:footnoteReference w:id="100"/>
      </w:r>
      <w:r>
        <w:rPr>
          <w:rFonts w:ascii="Times New Roman" w:hAnsi="Times New Roman" w:cs="Times New Roman"/>
        </w:rPr>
        <w:t xml:space="preserve"> More specifically, this line of thought has shown that in situations in which the defendant’s liability systematically </w:t>
      </w:r>
      <w:proofErr w:type="gramStart"/>
      <w:r>
        <w:rPr>
          <w:rFonts w:ascii="Times New Roman" w:hAnsi="Times New Roman" w:cs="Times New Roman"/>
        </w:rPr>
        <w:t>cannot be proven</w:t>
      </w:r>
      <w:proofErr w:type="gramEnd"/>
      <w:r>
        <w:rPr>
          <w:rFonts w:ascii="Times New Roman" w:hAnsi="Times New Roman" w:cs="Times New Roman"/>
        </w:rPr>
        <w:t xml:space="preserve"> by the preponderance of the evidence, </w:t>
      </w:r>
      <w:r w:rsidRPr="007409FF">
        <w:rPr>
          <w:rFonts w:ascii="Times New Roman" w:hAnsi="Times New Roman" w:cs="Times New Roman"/>
        </w:rPr>
        <w:t xml:space="preserve">the </w:t>
      </w:r>
      <w:r w:rsidRPr="00D67FCF">
        <w:rPr>
          <w:rFonts w:ascii="Times New Roman" w:hAnsi="Times New Roman" w:cs="Times New Roman"/>
        </w:rPr>
        <w:t>effective legal</w:t>
      </w:r>
      <w:r>
        <w:rPr>
          <w:rFonts w:ascii="Times New Roman" w:hAnsi="Times New Roman" w:cs="Times New Roman"/>
        </w:rPr>
        <w:t xml:space="preserve"> regime entails zero liability.</w:t>
      </w:r>
      <w:r>
        <w:rPr>
          <w:rStyle w:val="FootnoteReference"/>
          <w:rFonts w:ascii="Times New Roman" w:hAnsi="Times New Roman"/>
        </w:rPr>
        <w:footnoteReference w:id="101"/>
      </w:r>
      <w:r>
        <w:rPr>
          <w:rFonts w:ascii="Times New Roman" w:hAnsi="Times New Roman" w:cs="Times New Roman"/>
        </w:rPr>
        <w:t xml:space="preserve"> Consequently, the law will not deter defendants in such settings, and their behavior will deviate from optimality. Based on this insight, Professor Steven Shavell has argued that in such settings a probabilistic regime is desirable.</w:t>
      </w:r>
      <w:r>
        <w:rPr>
          <w:rStyle w:val="FootnoteReference"/>
          <w:rFonts w:ascii="Times New Roman" w:hAnsi="Times New Roman"/>
        </w:rPr>
        <w:footnoteReference w:id="102"/>
      </w:r>
      <w:r>
        <w:rPr>
          <w:rFonts w:ascii="Times New Roman" w:hAnsi="Times New Roman" w:cs="Times New Roman"/>
        </w:rPr>
        <w:t xml:space="preserve"> </w:t>
      </w:r>
    </w:p>
    <w:p w14:paraId="6D2F72B6" w14:textId="38F7BDA5" w:rsidR="00DB23F8" w:rsidRDefault="00DB23F8" w:rsidP="008E5B29">
      <w:pPr>
        <w:bidi w:val="0"/>
        <w:ind w:firstLine="720"/>
        <w:jc w:val="both"/>
        <w:rPr>
          <w:rFonts w:ascii="Times New Roman" w:hAnsi="Times New Roman" w:cs="Times New Roman"/>
        </w:rPr>
      </w:pPr>
      <w:r>
        <w:rPr>
          <w:rFonts w:ascii="Times New Roman" w:hAnsi="Times New Roman" w:cs="Times New Roman"/>
        </w:rPr>
        <w:t xml:space="preserve">Similarly, there are </w:t>
      </w:r>
      <w:r w:rsidR="008E5B29">
        <w:rPr>
          <w:rFonts w:ascii="Times New Roman" w:hAnsi="Times New Roman" w:cs="Times New Roman"/>
        </w:rPr>
        <w:t>situations</w:t>
      </w:r>
      <w:r>
        <w:rPr>
          <w:rFonts w:ascii="Times New Roman" w:hAnsi="Times New Roman" w:cs="Times New Roman"/>
        </w:rPr>
        <w:t xml:space="preserve"> in the criminal arena in which defendants know ex ante that the prosecution faces systematic proof problems. These </w:t>
      </w:r>
      <w:r w:rsidR="008E5B29">
        <w:rPr>
          <w:rFonts w:ascii="Times New Roman" w:hAnsi="Times New Roman" w:cs="Times New Roman"/>
        </w:rPr>
        <w:t xml:space="preserve">situations </w:t>
      </w:r>
      <w:r>
        <w:rPr>
          <w:rFonts w:ascii="Times New Roman" w:hAnsi="Times New Roman" w:cs="Times New Roman"/>
        </w:rPr>
        <w:t xml:space="preserve">can stem from numerous factors. One key issue is the substantive norm, which might inherently generate reasonable doubt. When the governing norm deals with behavior that </w:t>
      </w:r>
      <w:proofErr w:type="gramStart"/>
      <w:r>
        <w:rPr>
          <w:rFonts w:ascii="Times New Roman" w:hAnsi="Times New Roman" w:cs="Times New Roman"/>
        </w:rPr>
        <w:t>is situated</w:t>
      </w:r>
      <w:proofErr w:type="gramEnd"/>
      <w:r>
        <w:rPr>
          <w:rFonts w:ascii="Times New Roman" w:hAnsi="Times New Roman" w:cs="Times New Roman"/>
        </w:rPr>
        <w:t xml:space="preserve"> on the border of legitimate activity, such as bribery (vs. gift giving or campaign contributions) or extortion (vs. aggressive business practices), it might give rise to systematic under-deterrence. Sophisticated offenders who strategically plan behavior that </w:t>
      </w:r>
      <w:proofErr w:type="gramStart"/>
      <w:r>
        <w:rPr>
          <w:rFonts w:ascii="Times New Roman" w:hAnsi="Times New Roman" w:cs="Times New Roman"/>
        </w:rPr>
        <w:t>is governed</w:t>
      </w:r>
      <w:proofErr w:type="gramEnd"/>
      <w:r>
        <w:rPr>
          <w:rFonts w:ascii="Times New Roman" w:hAnsi="Times New Roman" w:cs="Times New Roman"/>
        </w:rPr>
        <w:t xml:space="preserve"> by such norms will often be able to generate sufficient evidentiary ambiguity to annul any prosecution. Another factor in this regard is the ex post behavior of the offender. Some offenders know they </w:t>
      </w:r>
      <w:r w:rsidRPr="00173DE5">
        <w:rPr>
          <w:rFonts w:ascii="Times New Roman" w:hAnsi="Times New Roman" w:cs="Times New Roman"/>
        </w:rPr>
        <w:t>ar</w:t>
      </w:r>
      <w:r w:rsidRPr="00D27976">
        <w:rPr>
          <w:rFonts w:ascii="Times New Roman" w:hAnsi="Times New Roman" w:cs="Times New Roman"/>
        </w:rPr>
        <w:t xml:space="preserve">e capable of creating significant hurdles to the case </w:t>
      </w:r>
      <w:r w:rsidRPr="00BC1229">
        <w:rPr>
          <w:rFonts w:ascii="Times New Roman" w:hAnsi="Times New Roman" w:cs="Times New Roman"/>
        </w:rPr>
        <w:t>mounted against them ex post.</w:t>
      </w:r>
      <w:r>
        <w:rPr>
          <w:rFonts w:ascii="Times New Roman" w:hAnsi="Times New Roman" w:cs="Times New Roman"/>
        </w:rPr>
        <w:t xml:space="preserve"> These hurdles can be both legitimate (by, for example, investing vast resources in legal defenses) and illegitimate (by, for exam</w:t>
      </w:r>
      <w:r w:rsidR="008A103C">
        <w:rPr>
          <w:rFonts w:ascii="Times New Roman" w:hAnsi="Times New Roman" w:cs="Times New Roman"/>
        </w:rPr>
        <w:t>ple, eliminating a key witness</w:t>
      </w:r>
      <w:r>
        <w:rPr>
          <w:rFonts w:ascii="Times New Roman" w:hAnsi="Times New Roman" w:cs="Times New Roman"/>
        </w:rPr>
        <w:t xml:space="preserve">). Either way, offenders capable of creating such hurdles will view the effective legal sanction as zero. Finally, different biases of the fact-finding process might also influence ex ante estimates of potential criminal liability. A member of a group who </w:t>
      </w:r>
      <w:proofErr w:type="gramStart"/>
      <w:r>
        <w:rPr>
          <w:rFonts w:ascii="Times New Roman" w:hAnsi="Times New Roman" w:cs="Times New Roman"/>
        </w:rPr>
        <w:t>is systematically favored</w:t>
      </w:r>
      <w:proofErr w:type="gramEnd"/>
      <w:r>
        <w:rPr>
          <w:rFonts w:ascii="Times New Roman" w:hAnsi="Times New Roman" w:cs="Times New Roman"/>
        </w:rPr>
        <w:t xml:space="preserve"> by jurors (e.g., a white offender) will know that by simply taking the </w:t>
      </w:r>
      <w:r>
        <w:rPr>
          <w:rFonts w:ascii="Times New Roman" w:hAnsi="Times New Roman" w:cs="Times New Roman"/>
        </w:rPr>
        <w:lastRenderedPageBreak/>
        <w:t>stand he will be able to generate sufficient doubt and avoid a conviction.</w:t>
      </w:r>
      <w:r>
        <w:rPr>
          <w:rStyle w:val="FootnoteReference"/>
          <w:rFonts w:ascii="Times New Roman" w:hAnsi="Times New Roman"/>
        </w:rPr>
        <w:footnoteReference w:id="103"/>
      </w:r>
      <w:r>
        <w:rPr>
          <w:rFonts w:ascii="Times New Roman" w:hAnsi="Times New Roman" w:cs="Times New Roman"/>
        </w:rPr>
        <w:t xml:space="preserve"> Of course, when these factors work in conjunction, their force </w:t>
      </w:r>
      <w:proofErr w:type="gramStart"/>
      <w:r>
        <w:rPr>
          <w:rFonts w:ascii="Times New Roman" w:hAnsi="Times New Roman" w:cs="Times New Roman"/>
        </w:rPr>
        <w:t>is significantly bolstered</w:t>
      </w:r>
      <w:proofErr w:type="gramEnd"/>
      <w:r>
        <w:rPr>
          <w:rFonts w:ascii="Times New Roman" w:hAnsi="Times New Roman" w:cs="Times New Roman"/>
        </w:rPr>
        <w:t>. A well-educated wealthy banker working for a powerful financial institution who engages in borderline business activity might function under the assumption that personal criminal liability is simply not in play in his case.</w:t>
      </w:r>
      <w:r>
        <w:rPr>
          <w:rStyle w:val="FootnoteReference"/>
          <w:rFonts w:ascii="Times New Roman" w:hAnsi="Times New Roman"/>
        </w:rPr>
        <w:footnoteReference w:id="104"/>
      </w:r>
    </w:p>
    <w:p w14:paraId="5050926C" w14:textId="77777777" w:rsidR="00DB23F8" w:rsidRDefault="00DB23F8" w:rsidP="006E17E5">
      <w:pPr>
        <w:bidi w:val="0"/>
        <w:ind w:firstLine="720"/>
        <w:jc w:val="both"/>
        <w:rPr>
          <w:rFonts w:ascii="Times New Roman" w:hAnsi="Times New Roman" w:cs="Times New Roman"/>
        </w:rPr>
      </w:pPr>
      <w:r>
        <w:rPr>
          <w:rFonts w:ascii="Times New Roman" w:hAnsi="Times New Roman" w:cs="Times New Roman"/>
        </w:rPr>
        <w:t xml:space="preserve">When offenders assume (even wrongfully) ex ante that there are insurmountable obstacles to proving their guilt beyond a reasonable doubt, they will view criminal liability as de facto absent and </w:t>
      </w:r>
      <w:proofErr w:type="gramStart"/>
      <w:r>
        <w:rPr>
          <w:rFonts w:ascii="Times New Roman" w:hAnsi="Times New Roman" w:cs="Times New Roman"/>
        </w:rPr>
        <w:t>will not be deterred</w:t>
      </w:r>
      <w:proofErr w:type="gramEnd"/>
      <w:r>
        <w:rPr>
          <w:rFonts w:ascii="Times New Roman" w:hAnsi="Times New Roman" w:cs="Times New Roman"/>
        </w:rPr>
        <w:t xml:space="preserve">. This effect is an attribute of the all-or-nothing property of the threshold model and </w:t>
      </w:r>
      <w:proofErr w:type="gramStart"/>
      <w:r>
        <w:rPr>
          <w:rFonts w:ascii="Times New Roman" w:hAnsi="Times New Roman" w:cs="Times New Roman"/>
        </w:rPr>
        <w:t>cannot be overcome</w:t>
      </w:r>
      <w:proofErr w:type="gramEnd"/>
      <w:r>
        <w:rPr>
          <w:rFonts w:ascii="Times New Roman" w:hAnsi="Times New Roman" w:cs="Times New Roman"/>
        </w:rPr>
        <w:t xml:space="preserve"> by adjusting the size of the sanction given the fact that the offender assumes the probability of the application of the sanction under the beyond a reasonable standard is zero. To overcome this problem, criminal law might wish to base convictions on a sliding scale of proof. By doing so, it will manage to generate at least some deterrence for offenders who are undeterrable within a framework that limits sanctions only to those whose guilt has been proven beyond a reasonable doubt. </w:t>
      </w:r>
    </w:p>
    <w:p w14:paraId="3E0E1F10" w14:textId="2F6B10D0" w:rsidR="00DB23F8" w:rsidRDefault="00DB23F8" w:rsidP="00426F47">
      <w:pPr>
        <w:bidi w:val="0"/>
        <w:ind w:firstLine="720"/>
        <w:jc w:val="both"/>
        <w:rPr>
          <w:rFonts w:ascii="Times New Roman" w:hAnsi="Times New Roman" w:cs="Times New Roman"/>
        </w:rPr>
      </w:pPr>
      <w:r>
        <w:rPr>
          <w:rFonts w:ascii="Times New Roman" w:hAnsi="Times New Roman" w:cs="Times New Roman"/>
        </w:rPr>
        <w:t xml:space="preserve">While the two preceding explanations can illuminate many cases, their application is </w:t>
      </w:r>
      <w:r w:rsidR="00060F7B">
        <w:rPr>
          <w:rFonts w:ascii="Times New Roman" w:hAnsi="Times New Roman" w:cs="Times New Roman"/>
        </w:rPr>
        <w:t xml:space="preserve">still </w:t>
      </w:r>
      <w:r>
        <w:rPr>
          <w:rFonts w:ascii="Times New Roman" w:hAnsi="Times New Roman" w:cs="Times New Roman"/>
        </w:rPr>
        <w:t xml:space="preserve">not general. In some contexts, the risk of chilling benign behavior is not central to the law, as is the case with many violent crimes. Additionally, the concern over systematic proof problems does not always arise, as we are not all wealthy bankers or mob bosses. A more general way in which one can justify a probabilistic penal regime is to </w:t>
      </w:r>
      <w:r w:rsidRPr="00753CB7">
        <w:rPr>
          <w:rFonts w:ascii="Times New Roman" w:hAnsi="Times New Roman" w:cs="Times New Roman"/>
        </w:rPr>
        <w:t>relax the assumption of rationality</w:t>
      </w:r>
      <w:r>
        <w:rPr>
          <w:rFonts w:ascii="Times New Roman" w:hAnsi="Times New Roman" w:cs="Times New Roman"/>
        </w:rPr>
        <w:t xml:space="preserve"> </w:t>
      </w:r>
      <w:r w:rsidRPr="00753CB7">
        <w:rPr>
          <w:rFonts w:ascii="Times New Roman" w:hAnsi="Times New Roman" w:cs="Times New Roman"/>
        </w:rPr>
        <w:t>and incorporat</w:t>
      </w:r>
      <w:r>
        <w:rPr>
          <w:rFonts w:ascii="Times New Roman" w:hAnsi="Times New Roman" w:cs="Times New Roman"/>
        </w:rPr>
        <w:t>e</w:t>
      </w:r>
      <w:r w:rsidRPr="00753CB7">
        <w:rPr>
          <w:rFonts w:ascii="Times New Roman" w:hAnsi="Times New Roman" w:cs="Times New Roman"/>
        </w:rPr>
        <w:t xml:space="preserve"> behavioral insights into the </w:t>
      </w:r>
      <w:r>
        <w:rPr>
          <w:rFonts w:ascii="Times New Roman" w:hAnsi="Times New Roman" w:cs="Times New Roman"/>
        </w:rPr>
        <w:t>framework</w:t>
      </w:r>
      <w:r w:rsidRPr="00753CB7">
        <w:rPr>
          <w:rFonts w:ascii="Times New Roman" w:hAnsi="Times New Roman" w:cs="Times New Roman"/>
        </w:rPr>
        <w:t xml:space="preserve">. More specifically, decision-making theory draws a distinction between making decisions based on </w:t>
      </w:r>
      <w:r w:rsidRPr="00753CB7">
        <w:rPr>
          <w:rFonts w:ascii="Times New Roman" w:hAnsi="Times New Roman" w:cs="Times New Roman"/>
          <w:i/>
          <w:iCs/>
        </w:rPr>
        <w:t>description</w:t>
      </w:r>
      <w:r w:rsidRPr="00753CB7">
        <w:rPr>
          <w:rFonts w:ascii="Times New Roman" w:hAnsi="Times New Roman" w:cs="Times New Roman"/>
        </w:rPr>
        <w:t xml:space="preserve"> and making decisions</w:t>
      </w:r>
      <w:r w:rsidRPr="00753CB7">
        <w:rPr>
          <w:rFonts w:ascii="Times New Roman" w:hAnsi="Times New Roman" w:cs="Times New Roman"/>
          <w:i/>
          <w:iCs/>
        </w:rPr>
        <w:t xml:space="preserve"> </w:t>
      </w:r>
      <w:r w:rsidRPr="00753CB7">
        <w:rPr>
          <w:rFonts w:ascii="Times New Roman" w:hAnsi="Times New Roman" w:cs="Times New Roman"/>
        </w:rPr>
        <w:t>based on</w:t>
      </w:r>
      <w:r w:rsidRPr="00753CB7">
        <w:rPr>
          <w:rFonts w:ascii="Times New Roman" w:hAnsi="Times New Roman" w:cs="Times New Roman"/>
          <w:i/>
          <w:iCs/>
        </w:rPr>
        <w:t xml:space="preserve"> experience</w:t>
      </w:r>
      <w:r w:rsidRPr="00753CB7">
        <w:rPr>
          <w:rFonts w:ascii="Times New Roman" w:hAnsi="Times New Roman" w:cs="Times New Roman"/>
        </w:rPr>
        <w:t>.</w:t>
      </w:r>
      <w:r w:rsidRPr="00753CB7">
        <w:rPr>
          <w:rStyle w:val="FootnoteReference"/>
          <w:rFonts w:ascii="Times New Roman" w:hAnsi="Times New Roman"/>
        </w:rPr>
        <w:footnoteReference w:id="105"/>
      </w:r>
      <w:r w:rsidRPr="00753CB7">
        <w:rPr>
          <w:rFonts w:ascii="Times New Roman" w:hAnsi="Times New Roman" w:cs="Times New Roman"/>
        </w:rPr>
        <w:t xml:space="preserve"> Whereas the former alludes to situations in which the decision maker makes a choice after certain risky prospects </w:t>
      </w:r>
      <w:proofErr w:type="gramStart"/>
      <w:r w:rsidRPr="00753CB7">
        <w:rPr>
          <w:rFonts w:ascii="Times New Roman" w:hAnsi="Times New Roman" w:cs="Times New Roman"/>
        </w:rPr>
        <w:t>were introduced</w:t>
      </w:r>
      <w:proofErr w:type="gramEnd"/>
      <w:r w:rsidRPr="00753CB7">
        <w:rPr>
          <w:rFonts w:ascii="Times New Roman" w:hAnsi="Times New Roman" w:cs="Times New Roman"/>
        </w:rPr>
        <w:t xml:space="preserve"> to her, the latter alludes to situations in which the decision maker learns of the underlying payoff structure by making active choices. In such a case</w:t>
      </w:r>
      <w:r>
        <w:rPr>
          <w:rFonts w:ascii="Times New Roman" w:hAnsi="Times New Roman" w:cs="Times New Roman"/>
        </w:rPr>
        <w:t>,</w:t>
      </w:r>
      <w:r w:rsidRPr="00753CB7">
        <w:rPr>
          <w:rFonts w:ascii="Times New Roman" w:hAnsi="Times New Roman" w:cs="Times New Roman"/>
        </w:rPr>
        <w:t xml:space="preserve"> decisions </w:t>
      </w:r>
      <w:proofErr w:type="gramStart"/>
      <w:r>
        <w:rPr>
          <w:rFonts w:ascii="Times New Roman" w:hAnsi="Times New Roman" w:cs="Times New Roman"/>
        </w:rPr>
        <w:t>are</w:t>
      </w:r>
      <w:r w:rsidRPr="00753CB7">
        <w:rPr>
          <w:rFonts w:ascii="Times New Roman" w:hAnsi="Times New Roman" w:cs="Times New Roman"/>
        </w:rPr>
        <w:t xml:space="preserve"> made</w:t>
      </w:r>
      <w:proofErr w:type="gramEnd"/>
      <w:r w:rsidRPr="00753CB7">
        <w:rPr>
          <w:rFonts w:ascii="Times New Roman" w:hAnsi="Times New Roman" w:cs="Times New Roman"/>
        </w:rPr>
        <w:t xml:space="preserve"> based on a learning process, as people </w:t>
      </w:r>
      <w:r>
        <w:rPr>
          <w:rFonts w:ascii="Times New Roman" w:hAnsi="Times New Roman" w:cs="Times New Roman"/>
        </w:rPr>
        <w:t>determine</w:t>
      </w:r>
      <w:r w:rsidRPr="00753CB7">
        <w:rPr>
          <w:rFonts w:ascii="Times New Roman" w:hAnsi="Times New Roman" w:cs="Times New Roman"/>
        </w:rPr>
        <w:t xml:space="preserve"> from their past choices what their future ones</w:t>
      </w:r>
      <w:r>
        <w:rPr>
          <w:rFonts w:ascii="Times New Roman" w:hAnsi="Times New Roman" w:cs="Times New Roman"/>
        </w:rPr>
        <w:t xml:space="preserve"> </w:t>
      </w:r>
      <w:r w:rsidRPr="00753CB7">
        <w:rPr>
          <w:rFonts w:ascii="Times New Roman" w:hAnsi="Times New Roman" w:cs="Times New Roman"/>
        </w:rPr>
        <w:t xml:space="preserve">should be. </w:t>
      </w:r>
    </w:p>
    <w:p w14:paraId="3ECA7CE2" w14:textId="77777777" w:rsidR="00DB23F8" w:rsidRPr="00753CB7" w:rsidRDefault="00DB23F8" w:rsidP="009D1390">
      <w:pPr>
        <w:bidi w:val="0"/>
        <w:ind w:firstLine="720"/>
        <w:jc w:val="both"/>
        <w:rPr>
          <w:rFonts w:ascii="Times New Roman" w:hAnsi="Times New Roman" w:cs="Times New Roman"/>
        </w:rPr>
      </w:pPr>
      <w:r w:rsidRPr="00753CB7">
        <w:rPr>
          <w:rFonts w:ascii="Times New Roman" w:hAnsi="Times New Roman" w:cs="Times New Roman"/>
        </w:rPr>
        <w:t>In the paradigmatic experience experiment</w:t>
      </w:r>
      <w:r>
        <w:rPr>
          <w:rFonts w:ascii="Times New Roman" w:hAnsi="Times New Roman" w:cs="Times New Roman"/>
        </w:rPr>
        <w:t>,</w:t>
      </w:r>
      <w:r w:rsidRPr="00753CB7">
        <w:rPr>
          <w:rFonts w:ascii="Times New Roman" w:hAnsi="Times New Roman" w:cs="Times New Roman"/>
        </w:rPr>
        <w:t xml:space="preserve"> participants </w:t>
      </w:r>
      <w:proofErr w:type="gramStart"/>
      <w:r w:rsidRPr="00753CB7">
        <w:rPr>
          <w:rFonts w:ascii="Times New Roman" w:hAnsi="Times New Roman" w:cs="Times New Roman"/>
        </w:rPr>
        <w:t>are asked</w:t>
      </w:r>
      <w:proofErr w:type="gramEnd"/>
      <w:r w:rsidRPr="00753CB7">
        <w:rPr>
          <w:rFonts w:ascii="Times New Roman" w:hAnsi="Times New Roman" w:cs="Times New Roman"/>
        </w:rPr>
        <w:t xml:space="preserve"> to choose between two unmarked keys, and after making their decision they receive feedback regarding the payoff </w:t>
      </w:r>
      <w:r>
        <w:rPr>
          <w:rFonts w:ascii="Times New Roman" w:hAnsi="Times New Roman" w:cs="Times New Roman"/>
        </w:rPr>
        <w:t>associated with</w:t>
      </w:r>
      <w:r w:rsidRPr="00753CB7">
        <w:rPr>
          <w:rFonts w:ascii="Times New Roman" w:hAnsi="Times New Roman" w:cs="Times New Roman"/>
        </w:rPr>
        <w:t xml:space="preserve"> the key they selected and the payoff </w:t>
      </w:r>
      <w:r>
        <w:rPr>
          <w:rFonts w:ascii="Times New Roman" w:hAnsi="Times New Roman" w:cs="Times New Roman"/>
        </w:rPr>
        <w:t>associated with</w:t>
      </w:r>
      <w:r w:rsidRPr="00753CB7">
        <w:rPr>
          <w:rFonts w:ascii="Times New Roman" w:hAnsi="Times New Roman" w:cs="Times New Roman"/>
        </w:rPr>
        <w:t xml:space="preserve"> the </w:t>
      </w:r>
      <w:r>
        <w:rPr>
          <w:rFonts w:ascii="Times New Roman" w:hAnsi="Times New Roman" w:cs="Times New Roman"/>
        </w:rPr>
        <w:t>other</w:t>
      </w:r>
      <w:r w:rsidRPr="00753CB7">
        <w:rPr>
          <w:rFonts w:ascii="Times New Roman" w:hAnsi="Times New Roman" w:cs="Times New Roman"/>
        </w:rPr>
        <w:t xml:space="preserve"> key.</w:t>
      </w:r>
      <w:r w:rsidRPr="00753CB7">
        <w:rPr>
          <w:rStyle w:val="FootnoteReference"/>
          <w:rFonts w:ascii="Times New Roman" w:hAnsi="Times New Roman"/>
        </w:rPr>
        <w:footnoteReference w:id="106"/>
      </w:r>
      <w:r w:rsidRPr="00753CB7">
        <w:rPr>
          <w:rFonts w:ascii="Times New Roman" w:hAnsi="Times New Roman" w:cs="Times New Roman"/>
        </w:rPr>
        <w:t xml:space="preserve"> This decision </w:t>
      </w:r>
      <w:proofErr w:type="gramStart"/>
      <w:r w:rsidRPr="00753CB7">
        <w:rPr>
          <w:rFonts w:ascii="Times New Roman" w:hAnsi="Times New Roman" w:cs="Times New Roman"/>
        </w:rPr>
        <w:t xml:space="preserve">is then </w:t>
      </w:r>
      <w:r>
        <w:rPr>
          <w:rFonts w:ascii="Times New Roman" w:hAnsi="Times New Roman" w:cs="Times New Roman"/>
        </w:rPr>
        <w:t>repeated</w:t>
      </w:r>
      <w:proofErr w:type="gramEnd"/>
      <w:r w:rsidRPr="00753CB7">
        <w:rPr>
          <w:rFonts w:ascii="Times New Roman" w:hAnsi="Times New Roman" w:cs="Times New Roman"/>
        </w:rPr>
        <w:t>, and peoples</w:t>
      </w:r>
      <w:r>
        <w:rPr>
          <w:rFonts w:ascii="Times New Roman" w:hAnsi="Times New Roman" w:cs="Times New Roman"/>
        </w:rPr>
        <w:t>’</w:t>
      </w:r>
      <w:r w:rsidRPr="00753CB7">
        <w:rPr>
          <w:rFonts w:ascii="Times New Roman" w:hAnsi="Times New Roman" w:cs="Times New Roman"/>
        </w:rPr>
        <w:t xml:space="preserve"> choices over time can be documented. Importantly, while people </w:t>
      </w:r>
      <w:proofErr w:type="gramStart"/>
      <w:r w:rsidRPr="00753CB7">
        <w:rPr>
          <w:rFonts w:ascii="Times New Roman" w:hAnsi="Times New Roman" w:cs="Times New Roman"/>
        </w:rPr>
        <w:t>are informed</w:t>
      </w:r>
      <w:proofErr w:type="gramEnd"/>
      <w:r w:rsidRPr="00753CB7">
        <w:rPr>
          <w:rFonts w:ascii="Times New Roman" w:hAnsi="Times New Roman" w:cs="Times New Roman"/>
        </w:rPr>
        <w:t xml:space="preserve"> that each key reflects a distinct distribution of payoffs, they are not informed what this distribution actually is. The results of </w:t>
      </w:r>
      <w:r>
        <w:rPr>
          <w:rFonts w:ascii="Times New Roman" w:hAnsi="Times New Roman" w:cs="Times New Roman"/>
        </w:rPr>
        <w:t>a wide body of research</w:t>
      </w:r>
      <w:r w:rsidRPr="00753CB7">
        <w:rPr>
          <w:rFonts w:ascii="Times New Roman" w:hAnsi="Times New Roman" w:cs="Times New Roman"/>
        </w:rPr>
        <w:t xml:space="preserve"> dealing with experience-based decisions suggest that when people face low probability events in a repeat </w:t>
      </w:r>
      <w:r w:rsidRPr="00753CB7">
        <w:rPr>
          <w:rFonts w:ascii="Times New Roman" w:hAnsi="Times New Roman" w:cs="Times New Roman"/>
        </w:rPr>
        <w:lastRenderedPageBreak/>
        <w:t xml:space="preserve">setting they tend to underestimate those rare events. Generally, people behave as if they believe that </w:t>
      </w:r>
      <w:r>
        <w:rPr>
          <w:rFonts w:ascii="Times New Roman" w:hAnsi="Times New Roman" w:cs="Times New Roman"/>
        </w:rPr>
        <w:t>“</w:t>
      </w:r>
      <w:r w:rsidRPr="00753CB7">
        <w:rPr>
          <w:rFonts w:ascii="Times New Roman" w:hAnsi="Times New Roman" w:cs="Times New Roman"/>
        </w:rPr>
        <w:t>it won</w:t>
      </w:r>
      <w:r>
        <w:rPr>
          <w:rFonts w:ascii="Times New Roman" w:hAnsi="Times New Roman" w:cs="Times New Roman"/>
        </w:rPr>
        <w:t>’</w:t>
      </w:r>
      <w:r w:rsidRPr="00753CB7">
        <w:rPr>
          <w:rFonts w:ascii="Times New Roman" w:hAnsi="Times New Roman" w:cs="Times New Roman"/>
        </w:rPr>
        <w:t>t happen to me.</w:t>
      </w:r>
      <w:r>
        <w:rPr>
          <w:rFonts w:ascii="Times New Roman" w:hAnsi="Times New Roman" w:cs="Times New Roman"/>
        </w:rPr>
        <w:t>”</w:t>
      </w:r>
      <w:r w:rsidRPr="00753CB7">
        <w:rPr>
          <w:rStyle w:val="FootnoteReference"/>
          <w:rFonts w:ascii="Times New Roman" w:hAnsi="Times New Roman"/>
        </w:rPr>
        <w:footnoteReference w:id="107"/>
      </w:r>
      <w:r w:rsidRPr="00753CB7">
        <w:rPr>
          <w:rFonts w:ascii="Times New Roman" w:hAnsi="Times New Roman" w:cs="Times New Roman"/>
        </w:rPr>
        <w:t xml:space="preserve"> </w:t>
      </w:r>
    </w:p>
    <w:p w14:paraId="7925BC4B" w14:textId="77777777" w:rsidR="00DB23F8" w:rsidRDefault="00DB23F8" w:rsidP="008B2331">
      <w:pPr>
        <w:bidi w:val="0"/>
        <w:ind w:firstLine="720"/>
        <w:jc w:val="both"/>
        <w:rPr>
          <w:rFonts w:ascii="Times New Roman" w:hAnsi="Times New Roman" w:cs="Times New Roman"/>
        </w:rPr>
      </w:pPr>
      <w:r w:rsidRPr="00532B04">
        <w:rPr>
          <w:rFonts w:ascii="Times New Roman" w:hAnsi="Times New Roman" w:cs="Times New Roman"/>
        </w:rPr>
        <w:t xml:space="preserve">Criminal behavior usually does not reflect a </w:t>
      </w:r>
      <w:proofErr w:type="gramStart"/>
      <w:r w:rsidRPr="00532B04">
        <w:rPr>
          <w:rFonts w:ascii="Times New Roman" w:hAnsi="Times New Roman" w:cs="Times New Roman"/>
        </w:rPr>
        <w:t>one-shot</w:t>
      </w:r>
      <w:proofErr w:type="gramEnd"/>
      <w:r w:rsidRPr="00532B04">
        <w:rPr>
          <w:rFonts w:ascii="Times New Roman" w:hAnsi="Times New Roman" w:cs="Times New Roman"/>
        </w:rPr>
        <w:t xml:space="preserve"> decision in which the potential offender is informed beforehand of the risks and benefits associated with crime. When potential offenders decide to commit a crime</w:t>
      </w:r>
      <w:r>
        <w:rPr>
          <w:rFonts w:ascii="Times New Roman" w:hAnsi="Times New Roman" w:cs="Times New Roman"/>
        </w:rPr>
        <w:t>,</w:t>
      </w:r>
      <w:r w:rsidRPr="00532B04">
        <w:rPr>
          <w:rFonts w:ascii="Times New Roman" w:hAnsi="Times New Roman" w:cs="Times New Roman"/>
        </w:rPr>
        <w:t xml:space="preserve"> they </w:t>
      </w:r>
      <w:r>
        <w:rPr>
          <w:rFonts w:ascii="Times New Roman" w:hAnsi="Times New Roman" w:cs="Times New Roman"/>
        </w:rPr>
        <w:t xml:space="preserve">often </w:t>
      </w:r>
      <w:r w:rsidRPr="00532B04">
        <w:rPr>
          <w:rFonts w:ascii="Times New Roman" w:hAnsi="Times New Roman" w:cs="Times New Roman"/>
        </w:rPr>
        <w:t xml:space="preserve">have little knowledge about the probability of detection (and perhaps even about the sanction). Rather, these offenders face an ongoing process in which both the costs and benefits of crime are slowly learned. Given this pattern of decisions, the finding that people </w:t>
      </w:r>
      <w:r>
        <w:rPr>
          <w:rFonts w:ascii="Times New Roman" w:hAnsi="Times New Roman" w:cs="Times New Roman"/>
        </w:rPr>
        <w:t>will underestimate rare events</w:t>
      </w:r>
      <w:r w:rsidRPr="00532B04">
        <w:rPr>
          <w:rFonts w:ascii="Times New Roman" w:hAnsi="Times New Roman" w:cs="Times New Roman"/>
        </w:rPr>
        <w:t xml:space="preserve"> has significant implications for the design of optimal criminal sanctions. It suggests that as a general matter—both with respect </w:t>
      </w:r>
      <w:r>
        <w:rPr>
          <w:rFonts w:ascii="Times New Roman" w:hAnsi="Times New Roman" w:cs="Times New Roman"/>
        </w:rPr>
        <w:t xml:space="preserve">to </w:t>
      </w:r>
      <w:r w:rsidRPr="00532B04">
        <w:rPr>
          <w:rFonts w:ascii="Times New Roman" w:hAnsi="Times New Roman" w:cs="Times New Roman"/>
        </w:rPr>
        <w:t xml:space="preserve">nonmonetary </w:t>
      </w:r>
      <w:r w:rsidRPr="002B7008">
        <w:rPr>
          <w:rFonts w:ascii="Times New Roman" w:hAnsi="Times New Roman" w:cs="Times New Roman"/>
          <w:i/>
          <w:iCs/>
        </w:rPr>
        <w:t>and</w:t>
      </w:r>
      <w:r w:rsidRPr="00532B04">
        <w:rPr>
          <w:rFonts w:ascii="Times New Roman" w:hAnsi="Times New Roman" w:cs="Times New Roman"/>
        </w:rPr>
        <w:t xml:space="preserve"> monetary sanctions—</w:t>
      </w:r>
      <w:r>
        <w:rPr>
          <w:rFonts w:ascii="Times New Roman" w:hAnsi="Times New Roman" w:cs="Times New Roman"/>
        </w:rPr>
        <w:t xml:space="preserve">when the probability of </w:t>
      </w:r>
      <w:r w:rsidR="008B2331">
        <w:rPr>
          <w:rFonts w:ascii="Times New Roman" w:hAnsi="Times New Roman" w:cs="Times New Roman"/>
        </w:rPr>
        <w:t>sanctioning</w:t>
      </w:r>
      <w:r>
        <w:rPr>
          <w:rFonts w:ascii="Times New Roman" w:hAnsi="Times New Roman" w:cs="Times New Roman"/>
        </w:rPr>
        <w:t xml:space="preserve"> is low, </w:t>
      </w:r>
      <w:r w:rsidRPr="00532B04">
        <w:rPr>
          <w:rFonts w:ascii="Times New Roman" w:hAnsi="Times New Roman" w:cs="Times New Roman"/>
        </w:rPr>
        <w:t>potential criminal</w:t>
      </w:r>
      <w:r>
        <w:rPr>
          <w:rFonts w:ascii="Times New Roman" w:hAnsi="Times New Roman" w:cs="Times New Roman"/>
        </w:rPr>
        <w:t>s</w:t>
      </w:r>
      <w:r w:rsidRPr="00532B04">
        <w:rPr>
          <w:rFonts w:ascii="Times New Roman" w:hAnsi="Times New Roman" w:cs="Times New Roman"/>
        </w:rPr>
        <w:t xml:space="preserve"> will exhibit risk</w:t>
      </w:r>
      <w:r>
        <w:rPr>
          <w:rFonts w:ascii="Times New Roman" w:hAnsi="Times New Roman" w:cs="Times New Roman"/>
        </w:rPr>
        <w:t>-</w:t>
      </w:r>
      <w:r w:rsidRPr="00532B04">
        <w:rPr>
          <w:rFonts w:ascii="Times New Roman" w:hAnsi="Times New Roman" w:cs="Times New Roman"/>
        </w:rPr>
        <w:t xml:space="preserve">seeking behavior and will tend to discount the probability of </w:t>
      </w:r>
      <w:r w:rsidR="008B2331">
        <w:rPr>
          <w:rFonts w:ascii="Times New Roman" w:hAnsi="Times New Roman" w:cs="Times New Roman"/>
        </w:rPr>
        <w:t>sanctioning</w:t>
      </w:r>
      <w:r>
        <w:rPr>
          <w:rFonts w:ascii="Times New Roman" w:hAnsi="Times New Roman" w:cs="Times New Roman"/>
        </w:rPr>
        <w:t xml:space="preserve"> even further</w:t>
      </w:r>
      <w:r w:rsidRPr="00532B04">
        <w:rPr>
          <w:rFonts w:ascii="Times New Roman" w:hAnsi="Times New Roman" w:cs="Times New Roman"/>
        </w:rPr>
        <w:t xml:space="preserve">. </w:t>
      </w:r>
      <w:r>
        <w:rPr>
          <w:rFonts w:ascii="Times New Roman" w:hAnsi="Times New Roman" w:cs="Times New Roman"/>
        </w:rPr>
        <w:t xml:space="preserve">Based on this insight, a review recently published in the Proceedings of the National Academy of Science </w:t>
      </w:r>
      <w:proofErr w:type="gramStart"/>
      <w:r>
        <w:rPr>
          <w:rFonts w:ascii="Times New Roman" w:hAnsi="Times New Roman" w:cs="Times New Roman"/>
        </w:rPr>
        <w:t>concluded that</w:t>
      </w:r>
      <w:proofErr w:type="gramEnd"/>
      <w:r>
        <w:rPr>
          <w:rFonts w:ascii="Times New Roman" w:hAnsi="Times New Roman" w:cs="Times New Roman"/>
        </w:rPr>
        <w:t xml:space="preserve"> “</w:t>
      </w:r>
      <w:r w:rsidRPr="00694CB9">
        <w:rPr>
          <w:rFonts w:ascii="Times New Roman" w:hAnsi="Times New Roman" w:cs="Times New Roman"/>
        </w:rPr>
        <w:t>a</w:t>
      </w:r>
      <w:r>
        <w:rPr>
          <w:rFonts w:ascii="Times New Roman" w:hAnsi="Times New Roman" w:cs="Times New Roman"/>
        </w:rPr>
        <w:t xml:space="preserve"> </w:t>
      </w:r>
      <w:r w:rsidRPr="00694CB9">
        <w:rPr>
          <w:rFonts w:ascii="Times New Roman" w:hAnsi="Times New Roman" w:cs="Times New Roman"/>
        </w:rPr>
        <w:t>gentle rule enforcement policy that employs low punishments</w:t>
      </w:r>
      <w:r>
        <w:rPr>
          <w:rFonts w:ascii="Times New Roman" w:hAnsi="Times New Roman" w:cs="Times New Roman"/>
        </w:rPr>
        <w:t xml:space="preserve"> </w:t>
      </w:r>
      <w:r w:rsidRPr="00694CB9">
        <w:rPr>
          <w:rFonts w:ascii="Times New Roman" w:hAnsi="Times New Roman" w:cs="Times New Roman"/>
        </w:rPr>
        <w:t>with high probability can be very effective</w:t>
      </w:r>
      <w:r>
        <w:rPr>
          <w:rFonts w:ascii="Times New Roman" w:hAnsi="Times New Roman" w:cs="Times New Roman"/>
        </w:rPr>
        <w:t>.”</w:t>
      </w:r>
      <w:r>
        <w:rPr>
          <w:rStyle w:val="FootnoteReference"/>
          <w:rFonts w:ascii="Times New Roman" w:hAnsi="Times New Roman"/>
        </w:rPr>
        <w:footnoteReference w:id="108"/>
      </w:r>
      <w:r>
        <w:rPr>
          <w:rFonts w:ascii="Times New Roman" w:hAnsi="Times New Roman" w:cs="Times New Roman"/>
        </w:rPr>
        <w:t xml:space="preserve"> </w:t>
      </w:r>
      <w:r w:rsidRPr="00532B04">
        <w:rPr>
          <w:rFonts w:ascii="Times New Roman" w:hAnsi="Times New Roman" w:cs="Times New Roman"/>
        </w:rPr>
        <w:t>This conclusion is in line with the bulk of the criminolog</w:t>
      </w:r>
      <w:r>
        <w:rPr>
          <w:rFonts w:ascii="Times New Roman" w:hAnsi="Times New Roman" w:cs="Times New Roman"/>
        </w:rPr>
        <w:t>y</w:t>
      </w:r>
      <w:r w:rsidRPr="00532B04">
        <w:rPr>
          <w:rFonts w:ascii="Times New Roman" w:hAnsi="Times New Roman" w:cs="Times New Roman"/>
        </w:rPr>
        <w:t xml:space="preserve"> literature that suggests the certainty of sanctions has a greater effect on behavior than does their magnitude.</w:t>
      </w:r>
      <w:r w:rsidRPr="00532B04">
        <w:rPr>
          <w:rStyle w:val="FootnoteReference"/>
          <w:rFonts w:ascii="Times New Roman" w:hAnsi="Times New Roman"/>
        </w:rPr>
        <w:footnoteReference w:id="109"/>
      </w:r>
      <w:r>
        <w:rPr>
          <w:rFonts w:ascii="Times New Roman" w:hAnsi="Times New Roman" w:cs="Times New Roman"/>
        </w:rPr>
        <w:t xml:space="preserve"> </w:t>
      </w:r>
    </w:p>
    <w:p w14:paraId="37B5936A" w14:textId="1E3A36D0" w:rsidR="00DB23F8" w:rsidRDefault="00DB23F8" w:rsidP="003E51EB">
      <w:pPr>
        <w:bidi w:val="0"/>
        <w:ind w:firstLine="720"/>
        <w:jc w:val="both"/>
        <w:rPr>
          <w:rFonts w:ascii="Times New Roman" w:hAnsi="Times New Roman" w:cs="Times New Roman"/>
        </w:rPr>
      </w:pPr>
      <w:r>
        <w:rPr>
          <w:rFonts w:ascii="Times New Roman" w:hAnsi="Times New Roman" w:cs="Times New Roman"/>
        </w:rPr>
        <w:t xml:space="preserve">The existing literature on offender behavior and the certainty of sanctions tends to revolve around the balance between enforcement efforts and the </w:t>
      </w:r>
      <w:r w:rsidR="008B2331">
        <w:rPr>
          <w:rFonts w:ascii="Times New Roman" w:hAnsi="Times New Roman" w:cs="Times New Roman"/>
        </w:rPr>
        <w:t>severity</w:t>
      </w:r>
      <w:r>
        <w:rPr>
          <w:rFonts w:ascii="Times New Roman" w:hAnsi="Times New Roman" w:cs="Times New Roman"/>
        </w:rPr>
        <w:t xml:space="preserve"> of sanctions.</w:t>
      </w:r>
      <w:r>
        <w:rPr>
          <w:rStyle w:val="FootnoteReference"/>
          <w:rFonts w:ascii="Times New Roman" w:hAnsi="Times New Roman"/>
        </w:rPr>
        <w:footnoteReference w:id="110"/>
      </w:r>
      <w:r>
        <w:rPr>
          <w:rFonts w:ascii="Times New Roman" w:hAnsi="Times New Roman" w:cs="Times New Roman"/>
        </w:rPr>
        <w:t xml:space="preserve"> The main policy recommendation derived from </w:t>
      </w:r>
      <w:r w:rsidR="008B2331">
        <w:rPr>
          <w:rFonts w:ascii="Times New Roman" w:hAnsi="Times New Roman" w:cs="Times New Roman"/>
        </w:rPr>
        <w:t>this literature</w:t>
      </w:r>
      <w:r>
        <w:rPr>
          <w:rFonts w:ascii="Times New Roman" w:hAnsi="Times New Roman" w:cs="Times New Roman"/>
        </w:rPr>
        <w:t xml:space="preserve"> is a need to shift budgets to policing to increase the probability of apprehension.</w:t>
      </w:r>
      <w:bookmarkStart w:id="31" w:name="_Ref432077123"/>
      <w:r>
        <w:rPr>
          <w:rStyle w:val="FootnoteReference"/>
          <w:rFonts w:ascii="Times New Roman" w:hAnsi="Times New Roman"/>
        </w:rPr>
        <w:footnoteReference w:id="111"/>
      </w:r>
      <w:bookmarkEnd w:id="31"/>
      <w:r>
        <w:rPr>
          <w:rFonts w:ascii="Times New Roman" w:hAnsi="Times New Roman" w:cs="Times New Roman"/>
        </w:rPr>
        <w:t xml:space="preserve"> However, additional policing is not the only way through which the legal system can increase the probability of punishment. The evidentiary decision threshold can achieve the same goal.</w:t>
      </w:r>
      <w:r>
        <w:rPr>
          <w:rStyle w:val="FootnoteReference"/>
          <w:rFonts w:ascii="Times New Roman" w:hAnsi="Times New Roman"/>
        </w:rPr>
        <w:footnoteReference w:id="112"/>
      </w:r>
      <w:r>
        <w:rPr>
          <w:rFonts w:ascii="Times New Roman" w:hAnsi="Times New Roman" w:cs="Times New Roman"/>
        </w:rPr>
        <w:t xml:space="preserve"> By </w:t>
      </w:r>
      <w:r w:rsidR="003E51EB">
        <w:rPr>
          <w:rFonts w:ascii="Times New Roman" w:hAnsi="Times New Roman" w:cs="Times New Roman"/>
        </w:rPr>
        <w:t xml:space="preserve">enacting evidentiary offences, </w:t>
      </w:r>
      <w:r>
        <w:rPr>
          <w:rFonts w:ascii="Times New Roman" w:hAnsi="Times New Roman" w:cs="Times New Roman"/>
        </w:rPr>
        <w:t xml:space="preserve">policymakers can </w:t>
      </w:r>
      <w:r w:rsidR="003E51EB">
        <w:rPr>
          <w:rFonts w:ascii="Times New Roman" w:hAnsi="Times New Roman" w:cs="Times New Roman"/>
        </w:rPr>
        <w:t xml:space="preserve">create a penal regime in which moderate sanctions </w:t>
      </w:r>
      <w:proofErr w:type="gramStart"/>
      <w:r w:rsidR="003E51EB">
        <w:rPr>
          <w:rFonts w:ascii="Times New Roman" w:hAnsi="Times New Roman" w:cs="Times New Roman"/>
        </w:rPr>
        <w:t>are applied</w:t>
      </w:r>
      <w:proofErr w:type="gramEnd"/>
      <w:r w:rsidR="003E51EB">
        <w:rPr>
          <w:rFonts w:ascii="Times New Roman" w:hAnsi="Times New Roman" w:cs="Times New Roman"/>
        </w:rPr>
        <w:t xml:space="preserve"> with greater frequency</w:t>
      </w:r>
      <w:r>
        <w:rPr>
          <w:rFonts w:ascii="Times New Roman" w:hAnsi="Times New Roman" w:cs="Times New Roman"/>
        </w:rPr>
        <w:t xml:space="preserve">. </w:t>
      </w:r>
    </w:p>
    <w:p w14:paraId="4BE52140" w14:textId="77777777" w:rsidR="00DB23F8" w:rsidRPr="00532B04" w:rsidRDefault="00DB23F8" w:rsidP="00357986">
      <w:pPr>
        <w:bidi w:val="0"/>
        <w:ind w:firstLine="720"/>
        <w:jc w:val="both"/>
        <w:rPr>
          <w:rFonts w:ascii="Times New Roman" w:hAnsi="Times New Roman" w:cs="Times New Roman"/>
        </w:rPr>
      </w:pPr>
      <w:r>
        <w:rPr>
          <w:rFonts w:ascii="Times New Roman" w:hAnsi="Times New Roman" w:cs="Times New Roman"/>
        </w:rPr>
        <w:t xml:space="preserve">In summary, policy considerations suggest that the law should strive to adopt a continuous penal regime that distributes penalties in proportion to the level of evidentiary certainty and that this penal regime should transcend into the epistemic space that lies below the beyond a reasonable doubt threshold. The next subsection explores how the substantive rules of criminal law can achieve this goal. </w:t>
      </w:r>
    </w:p>
    <w:p w14:paraId="303962A0" w14:textId="77777777" w:rsidR="00DB23F8" w:rsidRPr="006E17E5" w:rsidRDefault="00DB23F8" w:rsidP="007D2C50">
      <w:pPr>
        <w:pStyle w:val="ListParagraph"/>
        <w:keepNext/>
        <w:numPr>
          <w:ilvl w:val="0"/>
          <w:numId w:val="8"/>
        </w:numPr>
        <w:bidi w:val="0"/>
        <w:jc w:val="both"/>
        <w:rPr>
          <w:rFonts w:ascii="Times New Roman" w:hAnsi="Times New Roman" w:cs="Times New Roman"/>
          <w:i/>
          <w:iCs/>
        </w:rPr>
      </w:pPr>
      <w:r w:rsidRPr="006E17E5">
        <w:rPr>
          <w:rFonts w:ascii="Times New Roman" w:hAnsi="Times New Roman" w:cs="Times New Roman"/>
          <w:i/>
          <w:iCs/>
        </w:rPr>
        <w:t xml:space="preserve">Evidentiary Grading through the Substantive Rules of Criminal Law </w:t>
      </w:r>
    </w:p>
    <w:p w14:paraId="4746AEA9" w14:textId="4E103D45" w:rsidR="00DB23F8" w:rsidRDefault="009A6FFB" w:rsidP="002D5FB9">
      <w:pPr>
        <w:bidi w:val="0"/>
        <w:ind w:firstLine="720"/>
        <w:jc w:val="both"/>
        <w:rPr>
          <w:rFonts w:ascii="Times New Roman" w:hAnsi="Times New Roman" w:cs="Times New Roman"/>
        </w:rPr>
      </w:pPr>
      <w:r>
        <w:rPr>
          <w:rFonts w:ascii="Times New Roman" w:hAnsi="Times New Roman" w:cs="Times New Roman"/>
        </w:rPr>
        <w:t>As noted above, the current discussion of error tradeoffs in criminal adjudication tends to focus on procedure,</w:t>
      </w:r>
      <w:r w:rsidR="002D5FB9">
        <w:rPr>
          <w:rStyle w:val="FootnoteReference"/>
          <w:rFonts w:ascii="Times New Roman" w:hAnsi="Times New Roman"/>
        </w:rPr>
        <w:footnoteReference w:id="113"/>
      </w:r>
      <w:r>
        <w:rPr>
          <w:rFonts w:ascii="Times New Roman" w:hAnsi="Times New Roman" w:cs="Times New Roman"/>
        </w:rPr>
        <w:t xml:space="preserve"> and </w:t>
      </w:r>
      <w:r w:rsidR="00DB23F8" w:rsidRPr="001603B2">
        <w:rPr>
          <w:rFonts w:ascii="Times New Roman" w:hAnsi="Times New Roman" w:cs="Times New Roman"/>
        </w:rPr>
        <w:t xml:space="preserve">takes prohibitions as exogenously given and </w:t>
      </w:r>
      <w:r w:rsidR="002D5FB9">
        <w:rPr>
          <w:rFonts w:ascii="Times New Roman" w:hAnsi="Times New Roman" w:cs="Times New Roman"/>
        </w:rPr>
        <w:t xml:space="preserve">not </w:t>
      </w:r>
      <w:r w:rsidR="00DB23F8" w:rsidRPr="001603B2">
        <w:rPr>
          <w:rFonts w:ascii="Times New Roman" w:hAnsi="Times New Roman" w:cs="Times New Roman"/>
        </w:rPr>
        <w:t>as a policy variable</w:t>
      </w:r>
      <w:r w:rsidR="00DB23F8">
        <w:rPr>
          <w:rFonts w:ascii="Times New Roman" w:hAnsi="Times New Roman" w:cs="Times New Roman"/>
        </w:rPr>
        <w:t xml:space="preserve"> that influences the accuracy of the criminal justice system</w:t>
      </w:r>
      <w:r w:rsidR="00DB23F8" w:rsidRPr="001603B2">
        <w:rPr>
          <w:rFonts w:ascii="Times New Roman" w:hAnsi="Times New Roman" w:cs="Times New Roman"/>
        </w:rPr>
        <w:t xml:space="preserve">. </w:t>
      </w:r>
      <w:r w:rsidR="00DB23F8">
        <w:rPr>
          <w:rFonts w:ascii="Times New Roman" w:hAnsi="Times New Roman" w:cs="Times New Roman"/>
        </w:rPr>
        <w:t xml:space="preserve">By doing so, it </w:t>
      </w:r>
      <w:r w:rsidR="00DB23F8" w:rsidRPr="001603B2">
        <w:rPr>
          <w:rFonts w:ascii="Times New Roman" w:hAnsi="Times New Roman" w:cs="Times New Roman"/>
        </w:rPr>
        <w:t xml:space="preserve">overlooks the interaction between the content of the substantive legal rules and the burden of proof. </w:t>
      </w:r>
      <w:r w:rsidR="00DB23F8">
        <w:rPr>
          <w:rFonts w:ascii="Times New Roman" w:hAnsi="Times New Roman" w:cs="Times New Roman"/>
        </w:rPr>
        <w:t xml:space="preserve">In reality, policymakers can adjust the balance between </w:t>
      </w:r>
      <w:proofErr w:type="gramStart"/>
      <w:r w:rsidR="00DB23F8">
        <w:rPr>
          <w:rFonts w:ascii="Times New Roman" w:hAnsi="Times New Roman" w:cs="Times New Roman"/>
        </w:rPr>
        <w:t>type</w:t>
      </w:r>
      <w:proofErr w:type="gramEnd"/>
      <w:r w:rsidR="00DB23F8">
        <w:rPr>
          <w:rFonts w:ascii="Times New Roman" w:hAnsi="Times New Roman" w:cs="Times New Roman"/>
        </w:rPr>
        <w:t xml:space="preserve"> 1 and type 2 errors through the design </w:t>
      </w:r>
      <w:r w:rsidR="00DB23F8">
        <w:rPr>
          <w:rFonts w:ascii="Times New Roman" w:hAnsi="Times New Roman" w:cs="Times New Roman"/>
        </w:rPr>
        <w:lastRenderedPageBreak/>
        <w:t xml:space="preserve">of substantive prohibitions. By adding or removing objective elements to crimes and by relaxing or enhancing the mental state associated with the crime, the state can make the prosecution’s case harder or easier to prove. This, in turn, will influence the number of false acquittals and false convictions. Furthermore, the punishment attached to these evidentiary crimes can be set lower than the punishment attached to the primary crime that they aim to deal with to account for </w:t>
      </w:r>
      <w:r w:rsidR="00DB23F8" w:rsidRPr="0014083A">
        <w:rPr>
          <w:rFonts w:ascii="Times New Roman" w:hAnsi="Times New Roman" w:cs="Times New Roman"/>
        </w:rPr>
        <w:t xml:space="preserve">the added evidentiary uncertainty associated </w:t>
      </w:r>
      <w:r w:rsidR="00DB23F8">
        <w:rPr>
          <w:rFonts w:ascii="Times New Roman" w:hAnsi="Times New Roman" w:cs="Times New Roman"/>
        </w:rPr>
        <w:t>with them. The emerging picture is of</w:t>
      </w:r>
      <w:r w:rsidR="00DB23F8" w:rsidRPr="0014083A">
        <w:rPr>
          <w:rFonts w:ascii="Times New Roman" w:hAnsi="Times New Roman" w:cs="Times New Roman"/>
        </w:rPr>
        <w:t xml:space="preserve"> a de facto </w:t>
      </w:r>
      <w:r w:rsidR="00DB23F8">
        <w:rPr>
          <w:rFonts w:ascii="Times New Roman" w:hAnsi="Times New Roman" w:cs="Times New Roman"/>
        </w:rPr>
        <w:t>evidentiary graded</w:t>
      </w:r>
      <w:r w:rsidR="00DB23F8" w:rsidRPr="0014083A">
        <w:rPr>
          <w:rFonts w:ascii="Times New Roman" w:hAnsi="Times New Roman" w:cs="Times New Roman"/>
        </w:rPr>
        <w:t xml:space="preserve"> penal regime. Defendants whose guilt </w:t>
      </w:r>
      <w:proofErr w:type="gramStart"/>
      <w:r w:rsidR="00DB23F8" w:rsidRPr="0014083A">
        <w:rPr>
          <w:rFonts w:ascii="Times New Roman" w:hAnsi="Times New Roman" w:cs="Times New Roman"/>
        </w:rPr>
        <w:t>can be proven</w:t>
      </w:r>
      <w:proofErr w:type="gramEnd"/>
      <w:r w:rsidR="00DB23F8" w:rsidRPr="0014083A">
        <w:rPr>
          <w:rFonts w:ascii="Times New Roman" w:hAnsi="Times New Roman" w:cs="Times New Roman"/>
        </w:rPr>
        <w:t xml:space="preserve"> beyond a reasonable doubt </w:t>
      </w:r>
      <w:r w:rsidR="00DB23F8">
        <w:rPr>
          <w:rFonts w:ascii="Times New Roman" w:hAnsi="Times New Roman" w:cs="Times New Roman"/>
        </w:rPr>
        <w:t>are</w:t>
      </w:r>
      <w:r w:rsidR="00DB23F8" w:rsidRPr="0014083A">
        <w:rPr>
          <w:rFonts w:ascii="Times New Roman" w:hAnsi="Times New Roman" w:cs="Times New Roman"/>
        </w:rPr>
        <w:t xml:space="preserve"> subject to the full punishment attached to </w:t>
      </w:r>
      <w:r w:rsidR="00DB23F8">
        <w:rPr>
          <w:rFonts w:ascii="Times New Roman" w:hAnsi="Times New Roman" w:cs="Times New Roman"/>
        </w:rPr>
        <w:t>the original crime</w:t>
      </w:r>
      <w:r w:rsidR="00DB23F8" w:rsidRPr="0014083A">
        <w:rPr>
          <w:rFonts w:ascii="Times New Roman" w:hAnsi="Times New Roman" w:cs="Times New Roman"/>
        </w:rPr>
        <w:t xml:space="preserve">, </w:t>
      </w:r>
      <w:r w:rsidR="00DB23F8">
        <w:rPr>
          <w:rFonts w:ascii="Times New Roman" w:hAnsi="Times New Roman" w:cs="Times New Roman"/>
        </w:rPr>
        <w:t>while</w:t>
      </w:r>
      <w:r w:rsidR="00DB23F8" w:rsidRPr="0014083A">
        <w:rPr>
          <w:rFonts w:ascii="Times New Roman" w:hAnsi="Times New Roman" w:cs="Times New Roman"/>
        </w:rPr>
        <w:t xml:space="preserve"> defendants whose </w:t>
      </w:r>
      <w:r w:rsidR="00DB23F8">
        <w:rPr>
          <w:rFonts w:ascii="Times New Roman" w:hAnsi="Times New Roman" w:cs="Times New Roman"/>
        </w:rPr>
        <w:t>guilt</w:t>
      </w:r>
      <w:r w:rsidR="00DB23F8" w:rsidRPr="0014083A">
        <w:rPr>
          <w:rFonts w:ascii="Times New Roman" w:hAnsi="Times New Roman" w:cs="Times New Roman"/>
        </w:rPr>
        <w:t xml:space="preserve"> is more difficult to prove </w:t>
      </w:r>
      <w:r w:rsidR="00DB23F8">
        <w:rPr>
          <w:rFonts w:ascii="Times New Roman" w:hAnsi="Times New Roman" w:cs="Times New Roman"/>
        </w:rPr>
        <w:t>are</w:t>
      </w:r>
      <w:r w:rsidR="00DB23F8" w:rsidRPr="0014083A">
        <w:rPr>
          <w:rFonts w:ascii="Times New Roman" w:hAnsi="Times New Roman" w:cs="Times New Roman"/>
        </w:rPr>
        <w:t xml:space="preserve"> convicted of the </w:t>
      </w:r>
      <w:r w:rsidR="00DB23F8">
        <w:rPr>
          <w:rFonts w:ascii="Times New Roman" w:hAnsi="Times New Roman" w:cs="Times New Roman"/>
        </w:rPr>
        <w:t>lesser</w:t>
      </w:r>
      <w:r w:rsidR="00DB23F8" w:rsidRPr="0014083A">
        <w:rPr>
          <w:rFonts w:ascii="Times New Roman" w:hAnsi="Times New Roman" w:cs="Times New Roman"/>
        </w:rPr>
        <w:t xml:space="preserve"> crime and </w:t>
      </w:r>
      <w:r w:rsidR="00DB23F8">
        <w:rPr>
          <w:rFonts w:ascii="Times New Roman" w:hAnsi="Times New Roman" w:cs="Times New Roman"/>
        </w:rPr>
        <w:t>are subject</w:t>
      </w:r>
      <w:r w:rsidR="00DB23F8" w:rsidRPr="0014083A">
        <w:rPr>
          <w:rFonts w:ascii="Times New Roman" w:hAnsi="Times New Roman" w:cs="Times New Roman"/>
        </w:rPr>
        <w:t xml:space="preserve"> to a milder penalty.</w:t>
      </w:r>
    </w:p>
    <w:p w14:paraId="7DA76B06" w14:textId="50AD1B67" w:rsidR="00DB23F8" w:rsidRDefault="00DB23F8" w:rsidP="00D066DC">
      <w:pPr>
        <w:bidi w:val="0"/>
        <w:ind w:firstLine="720"/>
        <w:jc w:val="both"/>
        <w:rPr>
          <w:rFonts w:ascii="Times New Roman" w:hAnsi="Times New Roman" w:cs="Times New Roman"/>
        </w:rPr>
      </w:pPr>
      <w:r>
        <w:rPr>
          <w:rFonts w:ascii="Times New Roman" w:hAnsi="Times New Roman" w:cs="Times New Roman"/>
        </w:rPr>
        <w:t xml:space="preserve">Overlooking the role of substantive rules is not a minor omission. In the realm of criminal adjudication, the substantive track is the main path through which type </w:t>
      </w:r>
      <w:proofErr w:type="gramStart"/>
      <w:r>
        <w:rPr>
          <w:rFonts w:ascii="Times New Roman" w:hAnsi="Times New Roman" w:cs="Times New Roman"/>
        </w:rPr>
        <w:t>1</w:t>
      </w:r>
      <w:proofErr w:type="gramEnd"/>
      <w:r>
        <w:rPr>
          <w:rFonts w:ascii="Times New Roman" w:hAnsi="Times New Roman" w:cs="Times New Roman"/>
        </w:rPr>
        <w:t xml:space="preserve"> errors and type 2 errors can be balanced. Given the entrenched constitutional status of the beyond a reasonable doubt standard,</w:t>
      </w:r>
      <w:bookmarkStart w:id="32" w:name="_Ref442089815"/>
      <w:r>
        <w:rPr>
          <w:rStyle w:val="FootnoteReference"/>
          <w:rFonts w:ascii="Times New Roman" w:hAnsi="Times New Roman"/>
        </w:rPr>
        <w:footnoteReference w:id="114"/>
      </w:r>
      <w:bookmarkEnd w:id="32"/>
      <w:r>
        <w:rPr>
          <w:rFonts w:ascii="Times New Roman" w:hAnsi="Times New Roman" w:cs="Times New Roman"/>
        </w:rPr>
        <w:t xml:space="preserve"> abandoning it explicitly is not a viable policy option. </w:t>
      </w:r>
      <w:r w:rsidRPr="0014083A">
        <w:rPr>
          <w:rFonts w:ascii="Times New Roman" w:hAnsi="Times New Roman" w:cs="Times New Roman"/>
        </w:rPr>
        <w:t xml:space="preserve">Furthermore, the web of constitutional rights that govern other aspects of the criminal process make it extremely difficult to achieve this goal by alternative procedural means. While allowing </w:t>
      </w:r>
      <w:r w:rsidR="00173DE5">
        <w:rPr>
          <w:rFonts w:ascii="Times New Roman" w:hAnsi="Times New Roman" w:cs="Times New Roman"/>
        </w:rPr>
        <w:t>the</w:t>
      </w:r>
      <w:r w:rsidR="00173DE5" w:rsidRPr="0014083A">
        <w:rPr>
          <w:rFonts w:ascii="Times New Roman" w:hAnsi="Times New Roman" w:cs="Times New Roman"/>
        </w:rPr>
        <w:t xml:space="preserve"> </w:t>
      </w:r>
      <w:r w:rsidRPr="0014083A">
        <w:rPr>
          <w:rFonts w:ascii="Times New Roman" w:hAnsi="Times New Roman" w:cs="Times New Roman"/>
        </w:rPr>
        <w:t>retrial</w:t>
      </w:r>
      <w:r w:rsidR="00173DE5">
        <w:rPr>
          <w:rFonts w:ascii="Times New Roman" w:hAnsi="Times New Roman" w:cs="Times New Roman"/>
        </w:rPr>
        <w:t xml:space="preserve"> of</w:t>
      </w:r>
      <w:r w:rsidRPr="0014083A">
        <w:rPr>
          <w:rFonts w:ascii="Times New Roman" w:hAnsi="Times New Roman" w:cs="Times New Roman"/>
        </w:rPr>
        <w:t xml:space="preserve"> defendants who </w:t>
      </w:r>
      <w:proofErr w:type="gramStart"/>
      <w:r w:rsidRPr="0014083A">
        <w:rPr>
          <w:rFonts w:ascii="Times New Roman" w:hAnsi="Times New Roman" w:cs="Times New Roman"/>
        </w:rPr>
        <w:t>were wrongfully acquitted</w:t>
      </w:r>
      <w:proofErr w:type="gramEnd"/>
      <w:r w:rsidRPr="0014083A">
        <w:rPr>
          <w:rFonts w:ascii="Times New Roman" w:hAnsi="Times New Roman" w:cs="Times New Roman"/>
        </w:rPr>
        <w:t xml:space="preserve"> will reduce the </w:t>
      </w:r>
      <w:r w:rsidR="00D27976">
        <w:rPr>
          <w:rFonts w:ascii="Times New Roman" w:hAnsi="Times New Roman" w:cs="Times New Roman"/>
        </w:rPr>
        <w:t>number</w:t>
      </w:r>
      <w:r w:rsidR="00D27976" w:rsidRPr="0014083A">
        <w:rPr>
          <w:rFonts w:ascii="Times New Roman" w:hAnsi="Times New Roman" w:cs="Times New Roman"/>
        </w:rPr>
        <w:t xml:space="preserve"> </w:t>
      </w:r>
      <w:r w:rsidRPr="0014083A">
        <w:rPr>
          <w:rFonts w:ascii="Times New Roman" w:hAnsi="Times New Roman" w:cs="Times New Roman"/>
        </w:rPr>
        <w:t>of false negatives, for example, this tactic will also be deemed unconstitutional in light of the prohibition against double jeopardy.</w:t>
      </w:r>
      <w:r w:rsidRPr="0014083A">
        <w:rPr>
          <w:rStyle w:val="FootnoteReference"/>
          <w:rFonts w:ascii="Times New Roman" w:hAnsi="Times New Roman"/>
        </w:rPr>
        <w:footnoteReference w:id="115"/>
      </w:r>
      <w:r w:rsidRPr="0014083A">
        <w:rPr>
          <w:rFonts w:ascii="Times New Roman" w:hAnsi="Times New Roman" w:cs="Times New Roman"/>
        </w:rPr>
        <w:t xml:space="preserve"> </w:t>
      </w:r>
      <w:r w:rsidR="00D27976">
        <w:rPr>
          <w:rFonts w:ascii="Times New Roman" w:hAnsi="Times New Roman" w:cs="Times New Roman"/>
        </w:rPr>
        <w:t>The c</w:t>
      </w:r>
      <w:r>
        <w:rPr>
          <w:rFonts w:ascii="Times New Roman" w:hAnsi="Times New Roman" w:cs="Times New Roman"/>
        </w:rPr>
        <w:t>onstitutional review of substantive rules, on the other hand, is relatively lax.</w:t>
      </w:r>
      <w:r w:rsidR="00E61549">
        <w:rPr>
          <w:rStyle w:val="FootnoteReference"/>
          <w:rFonts w:ascii="Times New Roman" w:hAnsi="Times New Roman"/>
        </w:rPr>
        <w:footnoteReference w:id="116"/>
      </w:r>
      <w:r>
        <w:rPr>
          <w:rFonts w:ascii="Times New Roman" w:hAnsi="Times New Roman" w:cs="Times New Roman"/>
        </w:rPr>
        <w:t xml:space="preserve"> For several decades</w:t>
      </w:r>
      <w:r w:rsidR="00D27976">
        <w:rPr>
          <w:rFonts w:ascii="Times New Roman" w:hAnsi="Times New Roman" w:cs="Times New Roman"/>
        </w:rPr>
        <w:t>,</w:t>
      </w:r>
      <w:r>
        <w:rPr>
          <w:rFonts w:ascii="Times New Roman" w:hAnsi="Times New Roman" w:cs="Times New Roman"/>
        </w:rPr>
        <w:t xml:space="preserve"> the Supreme Court has consistently refused to strike down criminal legislation that bears no substantial relationship to injury to the public.</w:t>
      </w:r>
      <w:r>
        <w:rPr>
          <w:rStyle w:val="FootnoteReference"/>
          <w:rFonts w:ascii="Times New Roman" w:hAnsi="Times New Roman"/>
        </w:rPr>
        <w:footnoteReference w:id="117"/>
      </w:r>
      <w:r>
        <w:rPr>
          <w:rFonts w:ascii="Times New Roman" w:hAnsi="Times New Roman" w:cs="Times New Roman"/>
        </w:rPr>
        <w:t xml:space="preserve"> </w:t>
      </w:r>
      <w:r w:rsidRPr="0014083A">
        <w:rPr>
          <w:rFonts w:ascii="Times New Roman" w:hAnsi="Times New Roman" w:cs="Times New Roman"/>
        </w:rPr>
        <w:t>In light of the difficulty to relax the burden of proof directly</w:t>
      </w:r>
      <w:r>
        <w:rPr>
          <w:rFonts w:ascii="Times New Roman" w:hAnsi="Times New Roman" w:cs="Times New Roman"/>
        </w:rPr>
        <w:t xml:space="preserve"> and the liberal regulation of substantive legal rules</w:t>
      </w:r>
      <w:r w:rsidRPr="0014083A">
        <w:rPr>
          <w:rFonts w:ascii="Times New Roman" w:hAnsi="Times New Roman" w:cs="Times New Roman"/>
        </w:rPr>
        <w:t xml:space="preserve">, </w:t>
      </w:r>
      <w:r>
        <w:rPr>
          <w:rFonts w:ascii="Times New Roman" w:hAnsi="Times New Roman" w:cs="Times New Roman"/>
        </w:rPr>
        <w:t xml:space="preserve">the latter are the main tool with which the accuracy of criminal trials </w:t>
      </w:r>
      <w:proofErr w:type="gramStart"/>
      <w:r>
        <w:rPr>
          <w:rFonts w:ascii="Times New Roman" w:hAnsi="Times New Roman" w:cs="Times New Roman"/>
        </w:rPr>
        <w:t>can be adjusted</w:t>
      </w:r>
      <w:proofErr w:type="gramEnd"/>
      <w:r w:rsidRPr="0014083A">
        <w:rPr>
          <w:rFonts w:ascii="Times New Roman" w:hAnsi="Times New Roman" w:cs="Times New Roman"/>
        </w:rPr>
        <w:t>.</w:t>
      </w:r>
      <w:bookmarkStart w:id="33" w:name="_Ref442089827"/>
      <w:r>
        <w:rPr>
          <w:rStyle w:val="FootnoteReference"/>
          <w:rFonts w:ascii="Times New Roman" w:hAnsi="Times New Roman"/>
        </w:rPr>
        <w:footnoteReference w:id="118"/>
      </w:r>
      <w:bookmarkEnd w:id="33"/>
    </w:p>
    <w:p w14:paraId="1AC1B905" w14:textId="77777777" w:rsidR="00DB23F8" w:rsidRPr="0014083A" w:rsidRDefault="00DB23F8" w:rsidP="00F21A6C">
      <w:pPr>
        <w:bidi w:val="0"/>
        <w:ind w:firstLine="720"/>
        <w:jc w:val="both"/>
        <w:rPr>
          <w:rFonts w:ascii="Times New Roman" w:hAnsi="Times New Roman" w:cs="Times New Roman"/>
        </w:rPr>
      </w:pPr>
      <w:r>
        <w:rPr>
          <w:rFonts w:ascii="Times New Roman" w:hAnsi="Times New Roman" w:cs="Times New Roman"/>
        </w:rPr>
        <w:t>To be sure, the legal literature has documented several examples of evidentiary considerations playing a role in penal decisions.</w:t>
      </w:r>
      <w:bookmarkStart w:id="34" w:name="_Ref439542233"/>
      <w:r>
        <w:rPr>
          <w:rStyle w:val="FootnoteReference"/>
          <w:rFonts w:ascii="Times New Roman" w:hAnsi="Times New Roman"/>
        </w:rPr>
        <w:footnoteReference w:id="119"/>
      </w:r>
      <w:bookmarkEnd w:id="34"/>
      <w:r>
        <w:rPr>
          <w:rFonts w:ascii="Times New Roman" w:hAnsi="Times New Roman" w:cs="Times New Roman"/>
        </w:rPr>
        <w:t xml:space="preserve"> Furthermore, these cases often reflect an attempt to grade penalties in accordance with the amount of evidence available against the defendant. One group of such examples </w:t>
      </w:r>
      <w:proofErr w:type="gramStart"/>
      <w:r>
        <w:rPr>
          <w:rFonts w:ascii="Times New Roman" w:hAnsi="Times New Roman" w:cs="Times New Roman"/>
        </w:rPr>
        <w:t>can be found</w:t>
      </w:r>
      <w:proofErr w:type="gramEnd"/>
      <w:r>
        <w:rPr>
          <w:rFonts w:ascii="Times New Roman" w:hAnsi="Times New Roman" w:cs="Times New Roman"/>
        </w:rPr>
        <w:t xml:space="preserve"> in the criminal process</w:t>
      </w:r>
      <w:r w:rsidRPr="0014083A">
        <w:rPr>
          <w:rFonts w:ascii="Times New Roman" w:hAnsi="Times New Roman" w:cs="Times New Roman"/>
        </w:rPr>
        <w:t xml:space="preserve">. For one, since plea bargains </w:t>
      </w:r>
      <w:proofErr w:type="gramStart"/>
      <w:r w:rsidRPr="0014083A">
        <w:rPr>
          <w:rFonts w:ascii="Times New Roman" w:hAnsi="Times New Roman" w:cs="Times New Roman"/>
        </w:rPr>
        <w:t>are negotiated</w:t>
      </w:r>
      <w:proofErr w:type="gramEnd"/>
      <w:r w:rsidRPr="0014083A">
        <w:rPr>
          <w:rFonts w:ascii="Times New Roman" w:hAnsi="Times New Roman" w:cs="Times New Roman"/>
        </w:rPr>
        <w:t xml:space="preserve"> in the shadow of the expected outcome</w:t>
      </w:r>
      <w:r w:rsidR="00BC1229">
        <w:rPr>
          <w:rFonts w:ascii="Times New Roman" w:hAnsi="Times New Roman" w:cs="Times New Roman"/>
        </w:rPr>
        <w:t>s</w:t>
      </w:r>
      <w:r w:rsidRPr="0014083A">
        <w:rPr>
          <w:rFonts w:ascii="Times New Roman" w:hAnsi="Times New Roman" w:cs="Times New Roman"/>
        </w:rPr>
        <w:t xml:space="preserve"> of trial</w:t>
      </w:r>
      <w:r w:rsidR="00BC1229">
        <w:rPr>
          <w:rFonts w:ascii="Times New Roman" w:hAnsi="Times New Roman" w:cs="Times New Roman"/>
        </w:rPr>
        <w:t>s</w:t>
      </w:r>
      <w:r w:rsidRPr="0014083A">
        <w:rPr>
          <w:rFonts w:ascii="Times New Roman" w:hAnsi="Times New Roman" w:cs="Times New Roman"/>
        </w:rPr>
        <w:t>, the deals that are struck between prosecutors and defendants will incorporate all evidentiary uncertainty.</w:t>
      </w:r>
      <w:r>
        <w:rPr>
          <w:rStyle w:val="FootnoteReference"/>
          <w:rFonts w:ascii="Times New Roman" w:hAnsi="Times New Roman"/>
        </w:rPr>
        <w:footnoteReference w:id="120"/>
      </w:r>
      <w:r w:rsidRPr="0014083A">
        <w:rPr>
          <w:rFonts w:ascii="Times New Roman" w:hAnsi="Times New Roman" w:cs="Times New Roman"/>
        </w:rPr>
        <w:t xml:space="preserve"> Holding everything else equal, a defendant facing a 95</w:t>
      </w:r>
      <w:r>
        <w:rPr>
          <w:rFonts w:ascii="Times New Roman" w:hAnsi="Times New Roman" w:cs="Times New Roman"/>
        </w:rPr>
        <w:t>% chance of</w:t>
      </w:r>
      <w:r w:rsidRPr="0014083A">
        <w:rPr>
          <w:rFonts w:ascii="Times New Roman" w:hAnsi="Times New Roman" w:cs="Times New Roman"/>
        </w:rPr>
        <w:t xml:space="preserve"> conviction will agree to a higher penalty </w:t>
      </w:r>
      <w:proofErr w:type="gramStart"/>
      <w:r w:rsidRPr="0014083A">
        <w:rPr>
          <w:rFonts w:ascii="Times New Roman" w:hAnsi="Times New Roman" w:cs="Times New Roman"/>
        </w:rPr>
        <w:t>than a defendant</w:t>
      </w:r>
      <w:proofErr w:type="gramEnd"/>
      <w:r w:rsidRPr="0014083A">
        <w:rPr>
          <w:rFonts w:ascii="Times New Roman" w:hAnsi="Times New Roman" w:cs="Times New Roman"/>
        </w:rPr>
        <w:t xml:space="preserve"> facing a </w:t>
      </w:r>
      <w:r>
        <w:rPr>
          <w:rFonts w:ascii="Times New Roman" w:hAnsi="Times New Roman" w:cs="Times New Roman"/>
          <w:rtl/>
        </w:rPr>
        <w:t>75%</w:t>
      </w:r>
      <w:r>
        <w:rPr>
          <w:rFonts w:ascii="Times New Roman" w:hAnsi="Times New Roman" w:cs="Times New Roman"/>
        </w:rPr>
        <w:t xml:space="preserve"> </w:t>
      </w:r>
      <w:r w:rsidRPr="0014083A">
        <w:rPr>
          <w:rFonts w:ascii="Times New Roman" w:hAnsi="Times New Roman" w:cs="Times New Roman"/>
        </w:rPr>
        <w:t>chance of conviction</w:t>
      </w:r>
      <w:r w:rsidR="00BC1229">
        <w:rPr>
          <w:rFonts w:ascii="Times New Roman" w:hAnsi="Times New Roman" w:cs="Times New Roman"/>
        </w:rPr>
        <w:t>,</w:t>
      </w:r>
      <w:r>
        <w:rPr>
          <w:rFonts w:ascii="Times New Roman" w:hAnsi="Times New Roman" w:cs="Times New Roman"/>
        </w:rPr>
        <w:t xml:space="preserve"> thus creating a correlation between degree of proof and the </w:t>
      </w:r>
      <w:r w:rsidR="00F21A6C">
        <w:rPr>
          <w:rFonts w:ascii="Times New Roman" w:hAnsi="Times New Roman" w:cs="Times New Roman"/>
        </w:rPr>
        <w:t>severity</w:t>
      </w:r>
      <w:r>
        <w:rPr>
          <w:rFonts w:ascii="Times New Roman" w:hAnsi="Times New Roman" w:cs="Times New Roman"/>
        </w:rPr>
        <w:t xml:space="preserve"> of </w:t>
      </w:r>
      <w:r w:rsidR="00BC1229">
        <w:rPr>
          <w:rFonts w:ascii="Times New Roman" w:hAnsi="Times New Roman" w:cs="Times New Roman"/>
        </w:rPr>
        <w:t xml:space="preserve">the </w:t>
      </w:r>
      <w:r>
        <w:rPr>
          <w:rFonts w:ascii="Times New Roman" w:hAnsi="Times New Roman" w:cs="Times New Roman"/>
        </w:rPr>
        <w:t>punishment</w:t>
      </w:r>
      <w:r w:rsidRPr="0014083A">
        <w:rPr>
          <w:rFonts w:ascii="Times New Roman" w:hAnsi="Times New Roman" w:cs="Times New Roman"/>
        </w:rPr>
        <w:t xml:space="preserve">. </w:t>
      </w:r>
      <w:r>
        <w:rPr>
          <w:rFonts w:ascii="Times New Roman" w:hAnsi="Times New Roman" w:cs="Times New Roman"/>
        </w:rPr>
        <w:t xml:space="preserve">Similarly, many of the adverse </w:t>
      </w:r>
      <w:r>
        <w:rPr>
          <w:rFonts w:ascii="Times New Roman" w:hAnsi="Times New Roman" w:cs="Times New Roman"/>
        </w:rPr>
        <w:lastRenderedPageBreak/>
        <w:t xml:space="preserve">consequences of the criminal process are incurred based on a decision standard that is lower than the beyond a reasonable doubt standard. </w:t>
      </w:r>
      <w:r w:rsidR="00BC1229">
        <w:rPr>
          <w:rFonts w:ascii="Times New Roman" w:hAnsi="Times New Roman" w:cs="Times New Roman"/>
        </w:rPr>
        <w:t>F</w:t>
      </w:r>
      <w:r>
        <w:rPr>
          <w:rFonts w:ascii="Times New Roman" w:hAnsi="Times New Roman" w:cs="Times New Roman"/>
        </w:rPr>
        <w:t xml:space="preserve">or example, </w:t>
      </w:r>
      <w:r w:rsidR="00BC1229">
        <w:rPr>
          <w:rFonts w:ascii="Times New Roman" w:hAnsi="Times New Roman" w:cs="Times New Roman"/>
        </w:rPr>
        <w:t>a</w:t>
      </w:r>
      <w:r w:rsidR="00BC1229" w:rsidRPr="00BC1229">
        <w:rPr>
          <w:rFonts w:ascii="Times New Roman" w:hAnsi="Times New Roman" w:cs="Times New Roman"/>
        </w:rPr>
        <w:t>rrests</w:t>
      </w:r>
      <w:r w:rsidR="00BC1229">
        <w:rPr>
          <w:rFonts w:ascii="Times New Roman" w:hAnsi="Times New Roman" w:cs="Times New Roman"/>
        </w:rPr>
        <w:t xml:space="preserve"> </w:t>
      </w:r>
      <w:proofErr w:type="gramStart"/>
      <w:r>
        <w:rPr>
          <w:rFonts w:ascii="Times New Roman" w:hAnsi="Times New Roman" w:cs="Times New Roman"/>
        </w:rPr>
        <w:t>are governed</w:t>
      </w:r>
      <w:proofErr w:type="gramEnd"/>
      <w:r>
        <w:rPr>
          <w:rFonts w:ascii="Times New Roman" w:hAnsi="Times New Roman" w:cs="Times New Roman"/>
        </w:rPr>
        <w:t xml:space="preserve"> by a far more lenient standard—probable cause—thus allowing more type 1 errors in the case of arrests.</w:t>
      </w:r>
      <w:bookmarkStart w:id="35" w:name="_Ref436857870"/>
      <w:r>
        <w:rPr>
          <w:rStyle w:val="FootnoteReference"/>
          <w:rFonts w:ascii="Times New Roman" w:hAnsi="Times New Roman"/>
        </w:rPr>
        <w:footnoteReference w:id="121"/>
      </w:r>
      <w:bookmarkEnd w:id="35"/>
      <w:r>
        <w:rPr>
          <w:rFonts w:ascii="Times New Roman" w:hAnsi="Times New Roman" w:cs="Times New Roman"/>
        </w:rPr>
        <w:t xml:space="preserve"> </w:t>
      </w:r>
      <w:r w:rsidR="00BC1229">
        <w:rPr>
          <w:rFonts w:ascii="Times New Roman" w:hAnsi="Times New Roman" w:cs="Times New Roman"/>
        </w:rPr>
        <w:t>Therefore</w:t>
      </w:r>
      <w:r>
        <w:rPr>
          <w:rFonts w:ascii="Times New Roman" w:hAnsi="Times New Roman" w:cs="Times New Roman"/>
        </w:rPr>
        <w:t xml:space="preserve">, defendants </w:t>
      </w:r>
      <w:r w:rsidR="00BC1229">
        <w:rPr>
          <w:rFonts w:ascii="Times New Roman" w:hAnsi="Times New Roman" w:cs="Times New Roman"/>
        </w:rPr>
        <w:t xml:space="preserve">with </w:t>
      </w:r>
      <w:r>
        <w:rPr>
          <w:rFonts w:ascii="Times New Roman" w:hAnsi="Times New Roman" w:cs="Times New Roman"/>
        </w:rPr>
        <w:t xml:space="preserve">little evidence mounted against them might face a lenient sanction in a form of an arrest before the case against them </w:t>
      </w:r>
      <w:proofErr w:type="gramStart"/>
      <w:r>
        <w:rPr>
          <w:rFonts w:ascii="Times New Roman" w:hAnsi="Times New Roman" w:cs="Times New Roman"/>
        </w:rPr>
        <w:t>is dismissed</w:t>
      </w:r>
      <w:proofErr w:type="gramEnd"/>
      <w:r>
        <w:rPr>
          <w:rFonts w:ascii="Times New Roman" w:hAnsi="Times New Roman" w:cs="Times New Roman"/>
        </w:rPr>
        <w:t xml:space="preserve">. Relatedly, </w:t>
      </w:r>
      <w:r w:rsidRPr="0014083A">
        <w:rPr>
          <w:rFonts w:ascii="Times New Roman" w:hAnsi="Times New Roman" w:cs="Times New Roman"/>
        </w:rPr>
        <w:t xml:space="preserve">nonlegal sanctions applied outside the realm of the law might </w:t>
      </w:r>
      <w:r>
        <w:rPr>
          <w:rFonts w:ascii="Times New Roman" w:hAnsi="Times New Roman" w:cs="Times New Roman"/>
        </w:rPr>
        <w:t>employ a lower decision threshold</w:t>
      </w:r>
      <w:r w:rsidRPr="0014083A">
        <w:rPr>
          <w:rFonts w:ascii="Times New Roman" w:hAnsi="Times New Roman" w:cs="Times New Roman"/>
        </w:rPr>
        <w:t xml:space="preserve">. For instance, defendants who are acquitted (or even not put to trial) are still subject to an array of adverse actions by potential employers and </w:t>
      </w:r>
      <w:proofErr w:type="gramStart"/>
      <w:r w:rsidRPr="0014083A">
        <w:rPr>
          <w:rFonts w:ascii="Times New Roman" w:hAnsi="Times New Roman" w:cs="Times New Roman"/>
        </w:rPr>
        <w:t>landlords</w:t>
      </w:r>
      <w:proofErr w:type="gramEnd"/>
      <w:r w:rsidRPr="0014083A">
        <w:rPr>
          <w:rFonts w:ascii="Times New Roman" w:hAnsi="Times New Roman" w:cs="Times New Roman"/>
        </w:rPr>
        <w:t xml:space="preserve"> who use arrest records and not criminal records.</w:t>
      </w:r>
      <w:r w:rsidRPr="0014083A">
        <w:rPr>
          <w:rStyle w:val="FootnoteReference"/>
          <w:rFonts w:ascii="Times New Roman" w:hAnsi="Times New Roman"/>
        </w:rPr>
        <w:footnoteReference w:id="122"/>
      </w:r>
      <w:r w:rsidRPr="0014083A">
        <w:rPr>
          <w:rFonts w:ascii="Times New Roman" w:hAnsi="Times New Roman" w:cs="Times New Roman"/>
        </w:rPr>
        <w:t xml:space="preserve"> As a result, these individuals might face sanctions even if the evidence against them is insufficient to support a conviction.</w:t>
      </w:r>
      <w:r>
        <w:rPr>
          <w:rStyle w:val="FootnoteReference"/>
          <w:rFonts w:ascii="Times New Roman" w:hAnsi="Times New Roman"/>
        </w:rPr>
        <w:footnoteReference w:id="123"/>
      </w:r>
    </w:p>
    <w:p w14:paraId="14E3C7C4" w14:textId="77777777" w:rsidR="00DB23F8" w:rsidRDefault="00DB23F8" w:rsidP="00F21A6C">
      <w:pPr>
        <w:bidi w:val="0"/>
        <w:ind w:firstLine="720"/>
        <w:jc w:val="both"/>
        <w:rPr>
          <w:rFonts w:ascii="Times New Roman" w:hAnsi="Times New Roman" w:cs="Times New Roman"/>
        </w:rPr>
      </w:pPr>
      <w:r>
        <w:rPr>
          <w:rFonts w:ascii="Times New Roman" w:hAnsi="Times New Roman" w:cs="Times New Roman"/>
        </w:rPr>
        <w:t xml:space="preserve">An additional example comes from the role that past convictions play in sentencing. Criminal history </w:t>
      </w:r>
      <w:r w:rsidRPr="001603B2">
        <w:rPr>
          <w:rFonts w:ascii="Times New Roman" w:hAnsi="Times New Roman" w:cs="Times New Roman"/>
        </w:rPr>
        <w:t xml:space="preserve">is a main factor in determining the </w:t>
      </w:r>
      <w:r w:rsidR="00F21A6C">
        <w:rPr>
          <w:rFonts w:ascii="Times New Roman" w:hAnsi="Times New Roman" w:cs="Times New Roman"/>
        </w:rPr>
        <w:t>severity</w:t>
      </w:r>
      <w:r w:rsidRPr="001603B2">
        <w:rPr>
          <w:rFonts w:ascii="Times New Roman" w:hAnsi="Times New Roman" w:cs="Times New Roman"/>
        </w:rPr>
        <w:t xml:space="preserve"> of punishment.</w:t>
      </w:r>
      <w:r w:rsidRPr="001603B2">
        <w:rPr>
          <w:rStyle w:val="FootnoteReference"/>
          <w:rFonts w:ascii="Times New Roman" w:hAnsi="Times New Roman"/>
        </w:rPr>
        <w:footnoteReference w:id="124"/>
      </w:r>
      <w:r w:rsidRPr="001603B2">
        <w:rPr>
          <w:rFonts w:ascii="Times New Roman" w:hAnsi="Times New Roman" w:cs="Times New Roman"/>
        </w:rPr>
        <w:t xml:space="preserve"> All else being </w:t>
      </w:r>
      <w:proofErr w:type="gramStart"/>
      <w:r w:rsidRPr="001603B2">
        <w:rPr>
          <w:rFonts w:ascii="Times New Roman" w:hAnsi="Times New Roman" w:cs="Times New Roman"/>
        </w:rPr>
        <w:t>equal</w:t>
      </w:r>
      <w:r>
        <w:rPr>
          <w:rFonts w:ascii="Times New Roman" w:hAnsi="Times New Roman" w:cs="Times New Roman"/>
        </w:rPr>
        <w:t>,</w:t>
      </w:r>
      <w:proofErr w:type="gramEnd"/>
      <w:r w:rsidRPr="001603B2">
        <w:rPr>
          <w:rFonts w:ascii="Times New Roman" w:hAnsi="Times New Roman" w:cs="Times New Roman"/>
        </w:rPr>
        <w:t xml:space="preserve"> repeat offenders are subject to harsher penalties than criminals who committed the identical crime for the first time.</w:t>
      </w:r>
      <w:r w:rsidRPr="001603B2">
        <w:rPr>
          <w:rStyle w:val="FootnoteReference"/>
          <w:rFonts w:ascii="Times New Roman" w:hAnsi="Times New Roman"/>
        </w:rPr>
        <w:footnoteReference w:id="125"/>
      </w:r>
      <w:r w:rsidRPr="001603B2">
        <w:rPr>
          <w:rFonts w:ascii="Times New Roman" w:hAnsi="Times New Roman" w:cs="Times New Roman"/>
        </w:rPr>
        <w:t xml:space="preserve"> Despite the prevalence of escalating penalties for recidivists, legal scholarship—both deontological and consequentialist—has struggled to provide a normative theory that justifies this practice</w:t>
      </w:r>
      <w:r>
        <w:rPr>
          <w:rFonts w:ascii="Times New Roman" w:hAnsi="Times New Roman" w:cs="Times New Roman"/>
        </w:rPr>
        <w:t>,</w:t>
      </w:r>
      <w:r>
        <w:rPr>
          <w:rStyle w:val="FootnoteReference"/>
          <w:rFonts w:ascii="Times New Roman" w:hAnsi="Times New Roman"/>
        </w:rPr>
        <w:footnoteReference w:id="126"/>
      </w:r>
      <w:r>
        <w:rPr>
          <w:rFonts w:ascii="Times New Roman" w:hAnsi="Times New Roman" w:cs="Times New Roman"/>
        </w:rPr>
        <w:t xml:space="preserve"> and to date one of the leading explanations is evidentiary. </w:t>
      </w:r>
      <w:r w:rsidRPr="001603B2">
        <w:rPr>
          <w:rFonts w:ascii="Times New Roman" w:hAnsi="Times New Roman" w:cs="Times New Roman"/>
        </w:rPr>
        <w:t>As Ariel Rubinstein has shown, enhancing the sanctions of repeat offenders is a rational way to deal with evidentiary uncertainty.</w:t>
      </w:r>
      <w:r w:rsidRPr="001603B2">
        <w:rPr>
          <w:rStyle w:val="FootnoteReference"/>
          <w:rFonts w:ascii="Times New Roman" w:hAnsi="Times New Roman"/>
        </w:rPr>
        <w:footnoteReference w:id="127"/>
      </w:r>
      <w:r w:rsidRPr="001603B2">
        <w:rPr>
          <w:rFonts w:ascii="Times New Roman" w:hAnsi="Times New Roman" w:cs="Times New Roman"/>
        </w:rPr>
        <w:t xml:space="preserve"> According to this framework</w:t>
      </w:r>
      <w:r w:rsidR="00672B04">
        <w:rPr>
          <w:rFonts w:ascii="Times New Roman" w:hAnsi="Times New Roman" w:cs="Times New Roman"/>
        </w:rPr>
        <w:t>,</w:t>
      </w:r>
      <w:r w:rsidRPr="001603B2">
        <w:rPr>
          <w:rFonts w:ascii="Times New Roman" w:hAnsi="Times New Roman" w:cs="Times New Roman"/>
        </w:rPr>
        <w:t xml:space="preserve"> as the defendant accumulates a </w:t>
      </w:r>
      <w:r>
        <w:rPr>
          <w:rFonts w:ascii="Times New Roman" w:hAnsi="Times New Roman" w:cs="Times New Roman"/>
        </w:rPr>
        <w:t>lengthier</w:t>
      </w:r>
      <w:r w:rsidRPr="001603B2">
        <w:rPr>
          <w:rFonts w:ascii="Times New Roman" w:hAnsi="Times New Roman" w:cs="Times New Roman"/>
        </w:rPr>
        <w:t xml:space="preserve"> criminal record, factfinders can be more </w:t>
      </w:r>
      <w:r>
        <w:rPr>
          <w:rFonts w:ascii="Times New Roman" w:hAnsi="Times New Roman" w:cs="Times New Roman"/>
        </w:rPr>
        <w:t>certain that he is truly guilty</w:t>
      </w:r>
      <w:r w:rsidRPr="001603B2">
        <w:rPr>
          <w:rFonts w:ascii="Times New Roman" w:hAnsi="Times New Roman" w:cs="Times New Roman"/>
        </w:rPr>
        <w:t xml:space="preserve"> and can therefore apply </w:t>
      </w:r>
      <w:r>
        <w:rPr>
          <w:rFonts w:ascii="Times New Roman" w:hAnsi="Times New Roman" w:cs="Times New Roman"/>
        </w:rPr>
        <w:t>the</w:t>
      </w:r>
      <w:r w:rsidRPr="001603B2">
        <w:rPr>
          <w:rFonts w:ascii="Times New Roman" w:hAnsi="Times New Roman" w:cs="Times New Roman"/>
        </w:rPr>
        <w:t xml:space="preserve"> sanction</w:t>
      </w:r>
      <w:r>
        <w:rPr>
          <w:rFonts w:ascii="Times New Roman" w:hAnsi="Times New Roman" w:cs="Times New Roman"/>
        </w:rPr>
        <w:t xml:space="preserve"> the defendant truly deserves</w:t>
      </w:r>
      <w:r w:rsidRPr="001603B2">
        <w:rPr>
          <w:rFonts w:ascii="Times New Roman" w:hAnsi="Times New Roman" w:cs="Times New Roman"/>
        </w:rPr>
        <w:t>.</w:t>
      </w:r>
    </w:p>
    <w:p w14:paraId="0173609B" w14:textId="77777777" w:rsidR="00DB23F8" w:rsidRPr="0014083A" w:rsidRDefault="00DB23F8" w:rsidP="00F21A6C">
      <w:pPr>
        <w:bidi w:val="0"/>
        <w:ind w:firstLine="720"/>
        <w:jc w:val="both"/>
        <w:rPr>
          <w:rFonts w:ascii="Times New Roman" w:hAnsi="Times New Roman" w:cs="Times New Roman"/>
        </w:rPr>
      </w:pPr>
      <w:r>
        <w:rPr>
          <w:rFonts w:ascii="Times New Roman" w:hAnsi="Times New Roman" w:cs="Times New Roman"/>
        </w:rPr>
        <w:t>The informal realities that operate within the criminal justice system are another source of evidentiary gradation. More specifically</w:t>
      </w:r>
      <w:r w:rsidRPr="0014083A">
        <w:rPr>
          <w:rFonts w:ascii="Times New Roman" w:hAnsi="Times New Roman" w:cs="Times New Roman"/>
        </w:rPr>
        <w:t xml:space="preserve">, judicial behavior might inadvertently foster a connection between evidentiary uncertainty and the size of the sanctions defendants are </w:t>
      </w:r>
      <w:proofErr w:type="gramStart"/>
      <w:r w:rsidRPr="0014083A">
        <w:rPr>
          <w:rFonts w:ascii="Times New Roman" w:hAnsi="Times New Roman" w:cs="Times New Roman"/>
        </w:rPr>
        <w:t>subject to</w:t>
      </w:r>
      <w:proofErr w:type="gramEnd"/>
      <w:r w:rsidRPr="0014083A">
        <w:rPr>
          <w:rFonts w:ascii="Times New Roman" w:hAnsi="Times New Roman" w:cs="Times New Roman"/>
        </w:rPr>
        <w:t xml:space="preserve">. As a large body of psychological literature has shown, despite the fact that adjudicators are required to apply the </w:t>
      </w:r>
      <w:r>
        <w:rPr>
          <w:rFonts w:ascii="Times New Roman" w:hAnsi="Times New Roman" w:cs="Times New Roman"/>
        </w:rPr>
        <w:t>beyond reasonable doubt</w:t>
      </w:r>
      <w:r w:rsidRPr="0014083A">
        <w:rPr>
          <w:rFonts w:ascii="Times New Roman" w:hAnsi="Times New Roman" w:cs="Times New Roman"/>
        </w:rPr>
        <w:t xml:space="preserve"> standard</w:t>
      </w:r>
      <w:r>
        <w:rPr>
          <w:rFonts w:ascii="Times New Roman" w:hAnsi="Times New Roman" w:cs="Times New Roman"/>
        </w:rPr>
        <w:t xml:space="preserve"> </w:t>
      </w:r>
      <w:r w:rsidRPr="0014083A">
        <w:rPr>
          <w:rFonts w:ascii="Times New Roman" w:hAnsi="Times New Roman" w:cs="Times New Roman"/>
        </w:rPr>
        <w:t>in all criminal cases</w:t>
      </w:r>
      <w:r>
        <w:rPr>
          <w:rFonts w:ascii="Times New Roman" w:hAnsi="Times New Roman" w:cs="Times New Roman"/>
        </w:rPr>
        <w:t>,</w:t>
      </w:r>
      <w:r w:rsidRPr="0014083A">
        <w:rPr>
          <w:rFonts w:ascii="Times New Roman" w:hAnsi="Times New Roman" w:cs="Times New Roman"/>
        </w:rPr>
        <w:t xml:space="preserve"> in practice decision makers tend to apply a higher decision threshold in cases involving </w:t>
      </w:r>
      <w:r w:rsidR="00F21A6C">
        <w:rPr>
          <w:rFonts w:ascii="Times New Roman" w:hAnsi="Times New Roman" w:cs="Times New Roman"/>
        </w:rPr>
        <w:t>more severe</w:t>
      </w:r>
      <w:r w:rsidRPr="0014083A">
        <w:rPr>
          <w:rFonts w:ascii="Times New Roman" w:hAnsi="Times New Roman" w:cs="Times New Roman"/>
        </w:rPr>
        <w:t xml:space="preserve"> sanctions.</w:t>
      </w:r>
      <w:r w:rsidRPr="0014083A">
        <w:rPr>
          <w:rStyle w:val="FootnoteReference"/>
          <w:rFonts w:ascii="Times New Roman" w:hAnsi="Times New Roman"/>
        </w:rPr>
        <w:footnoteReference w:id="128"/>
      </w:r>
      <w:r w:rsidRPr="0014083A">
        <w:rPr>
          <w:rFonts w:ascii="Times New Roman" w:hAnsi="Times New Roman" w:cs="Times New Roman"/>
        </w:rPr>
        <w:t xml:space="preserve"> This finding, in turn, suggests that defendants facing low</w:t>
      </w:r>
      <w:r>
        <w:rPr>
          <w:rFonts w:ascii="Times New Roman" w:hAnsi="Times New Roman" w:cs="Times New Roman"/>
        </w:rPr>
        <w:t xml:space="preserve"> sanctions also face a diminished burden of proof and thus </w:t>
      </w:r>
      <w:proofErr w:type="gramStart"/>
      <w:r>
        <w:rPr>
          <w:rFonts w:ascii="Times New Roman" w:hAnsi="Times New Roman" w:cs="Times New Roman"/>
        </w:rPr>
        <w:t>might be punished</w:t>
      </w:r>
      <w:proofErr w:type="gramEnd"/>
      <w:r>
        <w:rPr>
          <w:rFonts w:ascii="Times New Roman" w:hAnsi="Times New Roman" w:cs="Times New Roman"/>
        </w:rPr>
        <w:t xml:space="preserve"> even when their guilt </w:t>
      </w:r>
      <w:r w:rsidR="000D1355">
        <w:rPr>
          <w:rFonts w:ascii="Times New Roman" w:hAnsi="Times New Roman" w:cs="Times New Roman"/>
        </w:rPr>
        <w:t xml:space="preserve">has </w:t>
      </w:r>
      <w:r>
        <w:rPr>
          <w:rFonts w:ascii="Times New Roman" w:hAnsi="Times New Roman" w:cs="Times New Roman"/>
        </w:rPr>
        <w:t xml:space="preserve">not </w:t>
      </w:r>
      <w:r w:rsidR="000D1355">
        <w:rPr>
          <w:rFonts w:ascii="Times New Roman" w:hAnsi="Times New Roman" w:cs="Times New Roman"/>
        </w:rPr>
        <w:t xml:space="preserve">been </w:t>
      </w:r>
      <w:r>
        <w:rPr>
          <w:rFonts w:ascii="Times New Roman" w:hAnsi="Times New Roman" w:cs="Times New Roman"/>
        </w:rPr>
        <w:t>proven beyond a reasonable doubt.</w:t>
      </w:r>
    </w:p>
    <w:p w14:paraId="424DC8D7" w14:textId="77777777" w:rsidR="00DB23F8" w:rsidRDefault="00DB23F8" w:rsidP="00F21A6C">
      <w:pPr>
        <w:bidi w:val="0"/>
        <w:ind w:firstLine="720"/>
        <w:jc w:val="both"/>
        <w:rPr>
          <w:rFonts w:ascii="Times New Roman" w:hAnsi="Times New Roman" w:cs="Times New Roman"/>
        </w:rPr>
      </w:pPr>
      <w:r w:rsidRPr="004F6707">
        <w:rPr>
          <w:rFonts w:ascii="Times New Roman" w:hAnsi="Times New Roman" w:cs="Times New Roman"/>
        </w:rPr>
        <w:t xml:space="preserve">Finally, </w:t>
      </w:r>
      <w:r>
        <w:rPr>
          <w:rFonts w:ascii="Times New Roman" w:hAnsi="Times New Roman" w:cs="Times New Roman"/>
        </w:rPr>
        <w:t xml:space="preserve">at times </w:t>
      </w:r>
      <w:r w:rsidRPr="004F6707">
        <w:rPr>
          <w:rFonts w:ascii="Times New Roman" w:hAnsi="Times New Roman" w:cs="Times New Roman"/>
        </w:rPr>
        <w:t>criminal law itself deal</w:t>
      </w:r>
      <w:r>
        <w:rPr>
          <w:rFonts w:ascii="Times New Roman" w:hAnsi="Times New Roman" w:cs="Times New Roman"/>
        </w:rPr>
        <w:t>s</w:t>
      </w:r>
      <w:r w:rsidRPr="004F6707">
        <w:rPr>
          <w:rFonts w:ascii="Times New Roman" w:hAnsi="Times New Roman" w:cs="Times New Roman"/>
        </w:rPr>
        <w:t xml:space="preserve"> directly with evidentiary uncertainty. The two main tools through which it operates on this front are presumptions and affirmative defenses. </w:t>
      </w:r>
      <w:r w:rsidRPr="004F6707">
        <w:rPr>
          <w:rFonts w:ascii="Times New Roman" w:hAnsi="Times New Roman" w:cs="Times New Roman"/>
        </w:rPr>
        <w:lastRenderedPageBreak/>
        <w:t>Presumptions enable adjudicators to infer conclusions from a given set of facts</w:t>
      </w:r>
      <w:r w:rsidR="000D1355">
        <w:rPr>
          <w:rFonts w:ascii="Times New Roman" w:hAnsi="Times New Roman" w:cs="Times New Roman"/>
        </w:rPr>
        <w:t xml:space="preserve"> but</w:t>
      </w:r>
      <w:r w:rsidRPr="004F6707">
        <w:rPr>
          <w:rFonts w:ascii="Times New Roman" w:hAnsi="Times New Roman" w:cs="Times New Roman"/>
        </w:rPr>
        <w:t xml:space="preserve"> for the most part do not alter the decision threshold.</w:t>
      </w:r>
      <w:r w:rsidRPr="004F6707">
        <w:rPr>
          <w:rStyle w:val="FootnoteReference"/>
          <w:rFonts w:ascii="Times New Roman" w:hAnsi="Times New Roman"/>
        </w:rPr>
        <w:footnoteReference w:id="129"/>
      </w:r>
      <w:r w:rsidRPr="004F6707">
        <w:rPr>
          <w:rFonts w:ascii="Times New Roman" w:hAnsi="Times New Roman" w:cs="Times New Roman"/>
        </w:rPr>
        <w:t xml:space="preserve"> Affirmative defenses</w:t>
      </w:r>
      <w:r w:rsidR="000D1355">
        <w:rPr>
          <w:rFonts w:ascii="Times New Roman" w:hAnsi="Times New Roman" w:cs="Times New Roman"/>
        </w:rPr>
        <w:t xml:space="preserve"> </w:t>
      </w:r>
      <w:r w:rsidRPr="004F6707">
        <w:rPr>
          <w:rFonts w:ascii="Times New Roman" w:hAnsi="Times New Roman" w:cs="Times New Roman"/>
        </w:rPr>
        <w:t xml:space="preserve">may alter the decision threshold and allow the prosecution to secure convictions when less convincing evidence </w:t>
      </w:r>
      <w:proofErr w:type="gramStart"/>
      <w:r w:rsidRPr="004F6707">
        <w:rPr>
          <w:rFonts w:ascii="Times New Roman" w:hAnsi="Times New Roman" w:cs="Times New Roman"/>
        </w:rPr>
        <w:t>is presented</w:t>
      </w:r>
      <w:proofErr w:type="gramEnd"/>
      <w:r w:rsidRPr="004F6707">
        <w:rPr>
          <w:rFonts w:ascii="Times New Roman" w:hAnsi="Times New Roman" w:cs="Times New Roman"/>
        </w:rPr>
        <w:t>.</w:t>
      </w:r>
      <w:r w:rsidRPr="004F6707">
        <w:rPr>
          <w:rStyle w:val="FootnoteReference"/>
          <w:rFonts w:ascii="Times New Roman" w:hAnsi="Times New Roman"/>
        </w:rPr>
        <w:footnoteReference w:id="130"/>
      </w:r>
      <w:r w:rsidRPr="004F6707">
        <w:rPr>
          <w:rFonts w:ascii="Times New Roman" w:hAnsi="Times New Roman" w:cs="Times New Roman"/>
        </w:rPr>
        <w:t xml:space="preserve"> </w:t>
      </w:r>
      <w:r w:rsidR="000D1355">
        <w:rPr>
          <w:rFonts w:ascii="Times New Roman" w:hAnsi="Times New Roman" w:cs="Times New Roman"/>
        </w:rPr>
        <w:t>H</w:t>
      </w:r>
      <w:r w:rsidR="000D1355" w:rsidRPr="000D1355">
        <w:rPr>
          <w:rFonts w:ascii="Times New Roman" w:hAnsi="Times New Roman" w:cs="Times New Roman"/>
        </w:rPr>
        <w:t>owever</w:t>
      </w:r>
      <w:r w:rsidR="000D1355">
        <w:rPr>
          <w:rFonts w:ascii="Times New Roman" w:hAnsi="Times New Roman" w:cs="Times New Roman"/>
        </w:rPr>
        <w:t>, t</w:t>
      </w:r>
      <w:r w:rsidRPr="004F6707">
        <w:rPr>
          <w:rFonts w:ascii="Times New Roman" w:hAnsi="Times New Roman" w:cs="Times New Roman"/>
        </w:rPr>
        <w:t xml:space="preserve">hese tools are relatively rare and </w:t>
      </w:r>
      <w:proofErr w:type="gramStart"/>
      <w:r w:rsidRPr="004F6707">
        <w:rPr>
          <w:rFonts w:ascii="Times New Roman" w:hAnsi="Times New Roman" w:cs="Times New Roman"/>
        </w:rPr>
        <w:t>cannot be viewed</w:t>
      </w:r>
      <w:proofErr w:type="gramEnd"/>
      <w:r w:rsidRPr="004F6707">
        <w:rPr>
          <w:rFonts w:ascii="Times New Roman" w:hAnsi="Times New Roman" w:cs="Times New Roman"/>
        </w:rPr>
        <w:t xml:space="preserve"> as a systematic treatment of the burden of proof in criminal trials.</w:t>
      </w:r>
      <w:r w:rsidRPr="004F6707">
        <w:rPr>
          <w:rStyle w:val="FootnoteReference"/>
          <w:rFonts w:ascii="Times New Roman" w:hAnsi="Times New Roman"/>
        </w:rPr>
        <w:footnoteReference w:id="131"/>
      </w:r>
      <w:r>
        <w:rPr>
          <w:rFonts w:ascii="Times New Roman" w:hAnsi="Times New Roman" w:cs="Times New Roman"/>
        </w:rPr>
        <w:t xml:space="preserve"> Furthermore, these tools do not grade sanctions in proportion to the evidence presented, </w:t>
      </w:r>
      <w:r w:rsidR="000D1355">
        <w:rPr>
          <w:rFonts w:ascii="Times New Roman" w:hAnsi="Times New Roman" w:cs="Times New Roman"/>
        </w:rPr>
        <w:t xml:space="preserve">as </w:t>
      </w:r>
      <w:r>
        <w:rPr>
          <w:rFonts w:ascii="Times New Roman" w:hAnsi="Times New Roman" w:cs="Times New Roman"/>
        </w:rPr>
        <w:t xml:space="preserve">once the presumption is triggered it is assumed that proof beyond a reasonable doubt was presented. For example, a presumption that any gift given </w:t>
      </w:r>
      <w:r w:rsidR="00941A09">
        <w:rPr>
          <w:rFonts w:ascii="Times New Roman" w:hAnsi="Times New Roman" w:cs="Times New Roman"/>
        </w:rPr>
        <w:t>by</w:t>
      </w:r>
      <w:r w:rsidR="00941A09" w:rsidRPr="00941A09">
        <w:rPr>
          <w:rFonts w:ascii="Times New Roman" w:hAnsi="Times New Roman" w:cs="Times New Roman"/>
        </w:rPr>
        <w:t xml:space="preserve"> a government contractor </w:t>
      </w:r>
      <w:r>
        <w:rPr>
          <w:rFonts w:ascii="Times New Roman" w:hAnsi="Times New Roman" w:cs="Times New Roman"/>
        </w:rPr>
        <w:t>to a civil servant is corrupt will certainly lower the burden of proof,</w:t>
      </w:r>
      <w:bookmarkStart w:id="36" w:name="_Ref439542239"/>
      <w:r>
        <w:rPr>
          <w:rStyle w:val="FootnoteReference"/>
          <w:rFonts w:ascii="Times New Roman" w:hAnsi="Times New Roman"/>
        </w:rPr>
        <w:footnoteReference w:id="132"/>
      </w:r>
      <w:bookmarkEnd w:id="36"/>
      <w:r>
        <w:rPr>
          <w:rFonts w:ascii="Times New Roman" w:hAnsi="Times New Roman" w:cs="Times New Roman"/>
        </w:rPr>
        <w:t xml:space="preserve"> </w:t>
      </w:r>
      <w:r w:rsidR="00941A09">
        <w:rPr>
          <w:rFonts w:ascii="Times New Roman" w:hAnsi="Times New Roman" w:cs="Times New Roman"/>
        </w:rPr>
        <w:t xml:space="preserve">but </w:t>
      </w:r>
      <w:r>
        <w:rPr>
          <w:rFonts w:ascii="Times New Roman" w:hAnsi="Times New Roman" w:cs="Times New Roman"/>
        </w:rPr>
        <w:t xml:space="preserve">it will not distinguish between cases in which a corrupt intent </w:t>
      </w:r>
      <w:proofErr w:type="gramStart"/>
      <w:r>
        <w:rPr>
          <w:rFonts w:ascii="Times New Roman" w:hAnsi="Times New Roman" w:cs="Times New Roman"/>
        </w:rPr>
        <w:t>was proven</w:t>
      </w:r>
      <w:proofErr w:type="gramEnd"/>
      <w:r>
        <w:rPr>
          <w:rFonts w:ascii="Times New Roman" w:hAnsi="Times New Roman" w:cs="Times New Roman"/>
        </w:rPr>
        <w:t xml:space="preserve"> beyond a reasonable doubt and cases in which this intent was proven to a </w:t>
      </w:r>
      <w:r w:rsidR="00941A09">
        <w:rPr>
          <w:rFonts w:ascii="Times New Roman" w:hAnsi="Times New Roman" w:cs="Times New Roman"/>
        </w:rPr>
        <w:t xml:space="preserve">lesser </w:t>
      </w:r>
      <w:r>
        <w:rPr>
          <w:rFonts w:ascii="Times New Roman" w:hAnsi="Times New Roman" w:cs="Times New Roman"/>
        </w:rPr>
        <w:t>degree.</w:t>
      </w:r>
    </w:p>
    <w:p w14:paraId="3D1EB23B" w14:textId="77777777" w:rsidR="00DB23F8" w:rsidRDefault="00DB23F8" w:rsidP="00296EA2">
      <w:pPr>
        <w:bidi w:val="0"/>
        <w:ind w:firstLine="720"/>
        <w:jc w:val="both"/>
        <w:rPr>
          <w:rFonts w:ascii="Times New Roman" w:hAnsi="Times New Roman" w:cs="Times New Roman"/>
        </w:rPr>
      </w:pPr>
      <w:r w:rsidRPr="001E07A9">
        <w:rPr>
          <w:rFonts w:ascii="Times New Roman" w:hAnsi="Times New Roman" w:cs="Times New Roman"/>
        </w:rPr>
        <w:t xml:space="preserve">While all these mechanisms are in </w:t>
      </w:r>
      <w:r w:rsidR="00941A09">
        <w:rPr>
          <w:rFonts w:ascii="Times New Roman" w:hAnsi="Times New Roman" w:cs="Times New Roman"/>
        </w:rPr>
        <w:t>line</w:t>
      </w:r>
      <w:r w:rsidR="00941A09" w:rsidRPr="001E07A9">
        <w:rPr>
          <w:rFonts w:ascii="Times New Roman" w:hAnsi="Times New Roman" w:cs="Times New Roman"/>
        </w:rPr>
        <w:t xml:space="preserve"> </w:t>
      </w:r>
      <w:r w:rsidRPr="001E07A9">
        <w:rPr>
          <w:rFonts w:ascii="Times New Roman" w:hAnsi="Times New Roman" w:cs="Times New Roman"/>
        </w:rPr>
        <w:t xml:space="preserve">with the </w:t>
      </w:r>
      <w:r>
        <w:rPr>
          <w:rFonts w:ascii="Times New Roman" w:hAnsi="Times New Roman" w:cs="Times New Roman"/>
        </w:rPr>
        <w:t>evidentiary theory of criminal law presented in</w:t>
      </w:r>
      <w:r w:rsidRPr="001E07A9">
        <w:rPr>
          <w:rFonts w:ascii="Times New Roman" w:hAnsi="Times New Roman" w:cs="Times New Roman"/>
        </w:rPr>
        <w:t xml:space="preserve"> this Article</w:t>
      </w:r>
      <w:r>
        <w:rPr>
          <w:rFonts w:ascii="Times New Roman" w:hAnsi="Times New Roman" w:cs="Times New Roman"/>
        </w:rPr>
        <w:t xml:space="preserve"> and highlight the scope of the phenomenon that this Article deals with</w:t>
      </w:r>
      <w:r w:rsidRPr="001E07A9">
        <w:rPr>
          <w:rFonts w:ascii="Times New Roman" w:hAnsi="Times New Roman" w:cs="Times New Roman"/>
        </w:rPr>
        <w:t xml:space="preserve">, the focus here is distinct. </w:t>
      </w:r>
      <w:r>
        <w:rPr>
          <w:rFonts w:ascii="Times New Roman" w:hAnsi="Times New Roman" w:cs="Times New Roman"/>
        </w:rPr>
        <w:t>The evidentiary theory of punishment focuses on</w:t>
      </w:r>
      <w:r w:rsidRPr="001E07A9">
        <w:rPr>
          <w:rFonts w:ascii="Times New Roman" w:hAnsi="Times New Roman" w:cs="Times New Roman"/>
        </w:rPr>
        <w:t xml:space="preserve"> the </w:t>
      </w:r>
      <w:r w:rsidRPr="002D5FB9">
        <w:rPr>
          <w:rFonts w:ascii="Times New Roman" w:hAnsi="Times New Roman" w:cs="Times New Roman"/>
          <w:i/>
          <w:iCs/>
        </w:rPr>
        <w:t>definition of crimes</w:t>
      </w:r>
      <w:r>
        <w:rPr>
          <w:rFonts w:ascii="Times New Roman" w:hAnsi="Times New Roman" w:cs="Times New Roman"/>
        </w:rPr>
        <w:t xml:space="preserve">—the legal borderline between permissible and impermissible behavior—and argues that this borderline is often drawn such that it will lower the </w:t>
      </w:r>
      <w:r w:rsidR="00941A09">
        <w:rPr>
          <w:rFonts w:ascii="Times New Roman" w:hAnsi="Times New Roman" w:cs="Times New Roman"/>
        </w:rPr>
        <w:t xml:space="preserve">number </w:t>
      </w:r>
      <w:r>
        <w:rPr>
          <w:rFonts w:ascii="Times New Roman" w:hAnsi="Times New Roman" w:cs="Times New Roman"/>
        </w:rPr>
        <w:t xml:space="preserve">of false acquittals. By going down the substantive path, legislatures can effectively relax the beyond a reasonable doubt standard and convict people whose guilt </w:t>
      </w:r>
      <w:proofErr w:type="gramStart"/>
      <w:r w:rsidR="00941A09">
        <w:rPr>
          <w:rFonts w:ascii="Times New Roman" w:hAnsi="Times New Roman" w:cs="Times New Roman"/>
        </w:rPr>
        <w:t xml:space="preserve">has </w:t>
      </w:r>
      <w:r>
        <w:rPr>
          <w:rFonts w:ascii="Times New Roman" w:hAnsi="Times New Roman" w:cs="Times New Roman"/>
        </w:rPr>
        <w:t xml:space="preserve">not </w:t>
      </w:r>
      <w:r w:rsidR="00941A09">
        <w:rPr>
          <w:rFonts w:ascii="Times New Roman" w:hAnsi="Times New Roman" w:cs="Times New Roman"/>
        </w:rPr>
        <w:t xml:space="preserve">been </w:t>
      </w:r>
      <w:r>
        <w:rPr>
          <w:rFonts w:ascii="Times New Roman" w:hAnsi="Times New Roman" w:cs="Times New Roman"/>
        </w:rPr>
        <w:t>proven</w:t>
      </w:r>
      <w:proofErr w:type="gramEnd"/>
      <w:r>
        <w:rPr>
          <w:rFonts w:ascii="Times New Roman" w:hAnsi="Times New Roman" w:cs="Times New Roman"/>
        </w:rPr>
        <w:t xml:space="preserve"> at such a high level. </w:t>
      </w:r>
      <w:r w:rsidR="00941A09">
        <w:rPr>
          <w:rFonts w:ascii="Times New Roman" w:hAnsi="Times New Roman" w:cs="Times New Roman"/>
        </w:rPr>
        <w:t>H</w:t>
      </w:r>
      <w:r w:rsidR="00941A09" w:rsidRPr="00941A09">
        <w:rPr>
          <w:rFonts w:ascii="Times New Roman" w:hAnsi="Times New Roman" w:cs="Times New Roman"/>
        </w:rPr>
        <w:t>owever,</w:t>
      </w:r>
      <w:r w:rsidR="00941A09">
        <w:rPr>
          <w:rFonts w:ascii="Times New Roman" w:hAnsi="Times New Roman" w:cs="Times New Roman"/>
        </w:rPr>
        <w:t xml:space="preserve"> t</w:t>
      </w:r>
      <w:r>
        <w:rPr>
          <w:rFonts w:ascii="Times New Roman" w:hAnsi="Times New Roman" w:cs="Times New Roman"/>
        </w:rPr>
        <w:t xml:space="preserve">aking this path entails a serious moral problem, which the next subsection will examine closely. </w:t>
      </w:r>
    </w:p>
    <w:p w14:paraId="5DA8435E" w14:textId="77777777" w:rsidR="00DB23F8" w:rsidRPr="002D0EE0" w:rsidRDefault="00DB23F8" w:rsidP="00E3584E">
      <w:pPr>
        <w:pStyle w:val="ListParagraph"/>
        <w:keepNext/>
        <w:numPr>
          <w:ilvl w:val="0"/>
          <w:numId w:val="8"/>
        </w:numPr>
        <w:bidi w:val="0"/>
        <w:jc w:val="both"/>
        <w:rPr>
          <w:rFonts w:ascii="Times New Roman" w:hAnsi="Times New Roman" w:cs="Times New Roman"/>
          <w:i/>
          <w:iCs/>
        </w:rPr>
      </w:pPr>
      <w:r w:rsidRPr="002D0EE0">
        <w:rPr>
          <w:rFonts w:ascii="Times New Roman" w:hAnsi="Times New Roman" w:cs="Times New Roman"/>
          <w:i/>
          <w:iCs/>
        </w:rPr>
        <w:t>The Problem of Intentionally Punishing the Innocents</w:t>
      </w:r>
    </w:p>
    <w:p w14:paraId="1B2D675C" w14:textId="77777777" w:rsidR="00DB23F8" w:rsidRDefault="00DB23F8" w:rsidP="00235802">
      <w:pPr>
        <w:bidi w:val="0"/>
        <w:ind w:firstLine="720"/>
        <w:jc w:val="both"/>
        <w:rPr>
          <w:rFonts w:ascii="Times New Roman" w:hAnsi="Times New Roman" w:cs="Times New Roman"/>
        </w:rPr>
      </w:pPr>
      <w:r>
        <w:rPr>
          <w:rFonts w:ascii="Times New Roman" w:hAnsi="Times New Roman" w:cs="Times New Roman"/>
        </w:rPr>
        <w:t xml:space="preserve">As we have seen, the substantive definition of crimes might serve to </w:t>
      </w:r>
      <w:r w:rsidR="00941A09">
        <w:rPr>
          <w:rFonts w:ascii="Times New Roman" w:hAnsi="Times New Roman" w:cs="Times New Roman"/>
        </w:rPr>
        <w:t xml:space="preserve">help </w:t>
      </w:r>
      <w:r>
        <w:rPr>
          <w:rFonts w:ascii="Times New Roman" w:hAnsi="Times New Roman" w:cs="Times New Roman"/>
        </w:rPr>
        <w:t xml:space="preserve">balance between </w:t>
      </w:r>
      <w:proofErr w:type="gramStart"/>
      <w:r>
        <w:rPr>
          <w:rFonts w:ascii="Times New Roman" w:hAnsi="Times New Roman" w:cs="Times New Roman"/>
        </w:rPr>
        <w:t>type</w:t>
      </w:r>
      <w:proofErr w:type="gramEnd"/>
      <w:r>
        <w:rPr>
          <w:rFonts w:ascii="Times New Roman" w:hAnsi="Times New Roman" w:cs="Times New Roman"/>
        </w:rPr>
        <w:t xml:space="preserve"> 1 and type 2 errors and establish a penal regime that distributes punishments in proportion to the level of proof. Yet one thorn could raise a serious concern regarding the moral acceptability of this penal scheme—the possibility of intentionally punishing the innocents. This subsection will deal with this objection and demonstrate that evidentiary tailored crimes might be a permissible way to deal with evidentiary uncertainty.</w:t>
      </w:r>
    </w:p>
    <w:p w14:paraId="37E2F1B7" w14:textId="77777777" w:rsidR="00DB23F8" w:rsidRDefault="00DB23F8" w:rsidP="00235802">
      <w:pPr>
        <w:bidi w:val="0"/>
        <w:ind w:firstLine="720"/>
        <w:jc w:val="both"/>
        <w:rPr>
          <w:rFonts w:ascii="Times New Roman" w:hAnsi="Times New Roman" w:cs="Times New Roman"/>
        </w:rPr>
      </w:pPr>
      <w:r>
        <w:rPr>
          <w:rFonts w:ascii="Times New Roman" w:hAnsi="Times New Roman" w:cs="Times New Roman"/>
        </w:rPr>
        <w:t>Adjusting the accuracy of criminal trials directly via the decision threshold or indirectly via the array of tools reviewed above</w:t>
      </w:r>
      <w:r>
        <w:rPr>
          <w:rStyle w:val="FootnoteReference"/>
          <w:rFonts w:ascii="Times New Roman" w:hAnsi="Times New Roman"/>
        </w:rPr>
        <w:footnoteReference w:id="133"/>
      </w:r>
      <w:r>
        <w:rPr>
          <w:rFonts w:ascii="Times New Roman" w:hAnsi="Times New Roman" w:cs="Times New Roman"/>
        </w:rPr>
        <w:t xml:space="preserve"> functions exclusively in the realm of the risk of error. As a result, wrongful convictions that stem from such mechanisms are by definition </w:t>
      </w:r>
      <w:r w:rsidRPr="0096019A">
        <w:rPr>
          <w:rFonts w:ascii="Times New Roman" w:hAnsi="Times New Roman" w:cs="Times New Roman"/>
          <w:i/>
          <w:iCs/>
        </w:rPr>
        <w:t>unintended</w:t>
      </w:r>
      <w:r>
        <w:rPr>
          <w:rFonts w:ascii="Times New Roman" w:hAnsi="Times New Roman" w:cs="Times New Roman"/>
        </w:rPr>
        <w:t xml:space="preserve"> outcome</w:t>
      </w:r>
      <w:r w:rsidR="00941A09">
        <w:rPr>
          <w:rFonts w:ascii="Times New Roman" w:hAnsi="Times New Roman" w:cs="Times New Roman"/>
        </w:rPr>
        <w:t>s</w:t>
      </w:r>
      <w:r>
        <w:rPr>
          <w:rFonts w:ascii="Times New Roman" w:hAnsi="Times New Roman" w:cs="Times New Roman"/>
        </w:rPr>
        <w:t xml:space="preserve">. An adjudicator convicting under a reduced burden of proof is aware of the elevated risk of a false positive, but when condemning the defendant she does not positively know that punishment is unwarranted. </w:t>
      </w:r>
      <w:r w:rsidR="00941A09">
        <w:rPr>
          <w:rFonts w:ascii="Times New Roman" w:hAnsi="Times New Roman" w:cs="Times New Roman"/>
        </w:rPr>
        <w:t xml:space="preserve">On </w:t>
      </w:r>
      <w:r>
        <w:rPr>
          <w:rFonts w:ascii="Times New Roman" w:hAnsi="Times New Roman" w:cs="Times New Roman"/>
        </w:rPr>
        <w:t xml:space="preserve">the contrary, she believes that the evidentiary threshold </w:t>
      </w:r>
      <w:proofErr w:type="gramStart"/>
      <w:r>
        <w:rPr>
          <w:rFonts w:ascii="Times New Roman" w:hAnsi="Times New Roman" w:cs="Times New Roman"/>
        </w:rPr>
        <w:t>has been met</w:t>
      </w:r>
      <w:proofErr w:type="gramEnd"/>
      <w:r>
        <w:rPr>
          <w:rFonts w:ascii="Times New Roman" w:hAnsi="Times New Roman" w:cs="Times New Roman"/>
        </w:rPr>
        <w:t xml:space="preserve"> and that the defendant deserves to be punished. When the burden of proof </w:t>
      </w:r>
      <w:proofErr w:type="gramStart"/>
      <w:r>
        <w:rPr>
          <w:rFonts w:ascii="Times New Roman" w:hAnsi="Times New Roman" w:cs="Times New Roman"/>
        </w:rPr>
        <w:t>is set</w:t>
      </w:r>
      <w:proofErr w:type="gramEnd"/>
      <w:r>
        <w:rPr>
          <w:rFonts w:ascii="Times New Roman" w:hAnsi="Times New Roman" w:cs="Times New Roman"/>
        </w:rPr>
        <w:t xml:space="preserve"> by substantive rules, however, the adjudicator might find herself in a position </w:t>
      </w:r>
      <w:r w:rsidR="00941A09">
        <w:rPr>
          <w:rFonts w:ascii="Times New Roman" w:hAnsi="Times New Roman" w:cs="Times New Roman"/>
        </w:rPr>
        <w:t>where</w:t>
      </w:r>
      <w:r>
        <w:rPr>
          <w:rFonts w:ascii="Times New Roman" w:hAnsi="Times New Roman" w:cs="Times New Roman"/>
        </w:rPr>
        <w:t xml:space="preserve"> she is compelled to convict the defendant even though she knows the defendant is not culpable. An adjudicator who knows the probabilistic premise of the offense does not hold in a particular </w:t>
      </w:r>
      <w:r>
        <w:rPr>
          <w:rFonts w:ascii="Times New Roman" w:hAnsi="Times New Roman" w:cs="Times New Roman"/>
        </w:rPr>
        <w:lastRenderedPageBreak/>
        <w:t xml:space="preserve">case and nonetheless chooses to convict the defendant makes a conscious decision to punish someone who does not deserve </w:t>
      </w:r>
      <w:r w:rsidR="00941A09">
        <w:rPr>
          <w:rFonts w:ascii="Times New Roman" w:hAnsi="Times New Roman" w:cs="Times New Roman"/>
        </w:rPr>
        <w:t>it</w:t>
      </w:r>
      <w:r>
        <w:rPr>
          <w:rFonts w:ascii="Times New Roman" w:hAnsi="Times New Roman" w:cs="Times New Roman"/>
        </w:rPr>
        <w:t>. Such a ruling would seem to violate the prohibition against knowingly punishing the innocent.</w:t>
      </w:r>
      <w:r>
        <w:rPr>
          <w:rStyle w:val="FootnoteReference"/>
          <w:rFonts w:ascii="Times New Roman" w:hAnsi="Times New Roman"/>
        </w:rPr>
        <w:footnoteReference w:id="134"/>
      </w:r>
      <w:r>
        <w:rPr>
          <w:rFonts w:ascii="Times New Roman" w:hAnsi="Times New Roman" w:cs="Times New Roman"/>
        </w:rPr>
        <w:t xml:space="preserve"> </w:t>
      </w:r>
    </w:p>
    <w:p w14:paraId="185FC34A" w14:textId="4D578C91" w:rsidR="00DB23F8" w:rsidRDefault="00DB23F8" w:rsidP="0044335B">
      <w:pPr>
        <w:bidi w:val="0"/>
        <w:ind w:firstLine="720"/>
        <w:jc w:val="both"/>
        <w:rPr>
          <w:rFonts w:ascii="Times New Roman" w:hAnsi="Times New Roman" w:cs="Times New Roman"/>
        </w:rPr>
      </w:pPr>
      <w:r>
        <w:rPr>
          <w:rFonts w:ascii="Times New Roman" w:hAnsi="Times New Roman" w:cs="Times New Roman"/>
        </w:rPr>
        <w:t xml:space="preserve">As a practical matter, the legal system can often alleviate this problem by creating pathways that prevent convictions in cases </w:t>
      </w:r>
      <w:r w:rsidR="0044335B">
        <w:rPr>
          <w:rFonts w:ascii="Times New Roman" w:hAnsi="Times New Roman" w:cs="Times New Roman"/>
        </w:rPr>
        <w:t>in which</w:t>
      </w:r>
      <w:r>
        <w:rPr>
          <w:rFonts w:ascii="Times New Roman" w:hAnsi="Times New Roman" w:cs="Times New Roman"/>
        </w:rPr>
        <w:t xml:space="preserve"> guilt is absent. These pathways allow adjudicators to focus on the facts of the specific case and refrain from applying the evidentiary </w:t>
      </w:r>
      <w:r w:rsidR="00296EC3">
        <w:rPr>
          <w:rFonts w:ascii="Times New Roman" w:hAnsi="Times New Roman" w:cs="Times New Roman"/>
        </w:rPr>
        <w:t>offense</w:t>
      </w:r>
      <w:r>
        <w:rPr>
          <w:rFonts w:ascii="Times New Roman" w:hAnsi="Times New Roman" w:cs="Times New Roman"/>
        </w:rPr>
        <w:t xml:space="preserve"> to defendants likely to be innocent. If a crime </w:t>
      </w:r>
      <w:proofErr w:type="gramStart"/>
      <w:r>
        <w:rPr>
          <w:rFonts w:ascii="Times New Roman" w:hAnsi="Times New Roman" w:cs="Times New Roman"/>
        </w:rPr>
        <w:t>is premised</w:t>
      </w:r>
      <w:proofErr w:type="gramEnd"/>
      <w:r>
        <w:rPr>
          <w:rFonts w:ascii="Times New Roman" w:hAnsi="Times New Roman" w:cs="Times New Roman"/>
        </w:rPr>
        <w:t xml:space="preserve"> on a correlation between an act and wrongful behavior and enables an acquittal if this correlation is shown not to hold, then the remaining wrongful convictions are unintentional </w:t>
      </w:r>
      <w:r w:rsidR="00747182">
        <w:rPr>
          <w:rFonts w:ascii="Times New Roman" w:hAnsi="Times New Roman" w:cs="Times New Roman"/>
        </w:rPr>
        <w:t xml:space="preserve">because </w:t>
      </w:r>
      <w:r>
        <w:rPr>
          <w:rFonts w:ascii="Times New Roman" w:hAnsi="Times New Roman" w:cs="Times New Roman"/>
        </w:rPr>
        <w:t xml:space="preserve">they continue to be premised on the assumed correlation. To the </w:t>
      </w:r>
      <w:proofErr w:type="gramStart"/>
      <w:r>
        <w:rPr>
          <w:rFonts w:ascii="Times New Roman" w:hAnsi="Times New Roman" w:cs="Times New Roman"/>
        </w:rPr>
        <w:t>extent</w:t>
      </w:r>
      <w:proofErr w:type="gramEnd"/>
      <w:r>
        <w:rPr>
          <w:rFonts w:ascii="Times New Roman" w:hAnsi="Times New Roman" w:cs="Times New Roman"/>
        </w:rPr>
        <w:t xml:space="preserve"> these doctrinal pathways can deal with all cases in which innocence is clear, they can eliminate the problem of knowingly punishing the innocent. Concrete examples of such doctrinal tools and the way in which they operate will be </w:t>
      </w:r>
      <w:r w:rsidR="00747182">
        <w:rPr>
          <w:rFonts w:ascii="Times New Roman" w:hAnsi="Times New Roman" w:cs="Times New Roman"/>
        </w:rPr>
        <w:t xml:space="preserve">detailed </w:t>
      </w:r>
      <w:r>
        <w:rPr>
          <w:rFonts w:ascii="Times New Roman" w:hAnsi="Times New Roman" w:cs="Times New Roman"/>
        </w:rPr>
        <w:t xml:space="preserve">in the next </w:t>
      </w:r>
      <w:r w:rsidR="000315A5">
        <w:rPr>
          <w:rFonts w:ascii="Times New Roman" w:hAnsi="Times New Roman" w:cs="Times New Roman"/>
        </w:rPr>
        <w:t>S</w:t>
      </w:r>
      <w:r>
        <w:rPr>
          <w:rFonts w:ascii="Times New Roman" w:hAnsi="Times New Roman" w:cs="Times New Roman"/>
        </w:rPr>
        <w:t xml:space="preserve">ection, which reviews the </w:t>
      </w:r>
      <w:r w:rsidR="0044335B">
        <w:rPr>
          <w:rFonts w:ascii="Times New Roman" w:hAnsi="Times New Roman" w:cs="Times New Roman"/>
        </w:rPr>
        <w:t xml:space="preserve">way in which the </w:t>
      </w:r>
      <w:r>
        <w:rPr>
          <w:rFonts w:ascii="Times New Roman" w:hAnsi="Times New Roman" w:cs="Times New Roman"/>
        </w:rPr>
        <w:t xml:space="preserve">evidentiary theory </w:t>
      </w:r>
      <w:r w:rsidR="0044335B">
        <w:rPr>
          <w:rFonts w:ascii="Times New Roman" w:hAnsi="Times New Roman" w:cs="Times New Roman"/>
        </w:rPr>
        <w:t xml:space="preserve">functions in practice </w:t>
      </w:r>
      <w:r>
        <w:rPr>
          <w:rFonts w:ascii="Times New Roman" w:hAnsi="Times New Roman" w:cs="Times New Roman"/>
        </w:rPr>
        <w:t xml:space="preserve">in </w:t>
      </w:r>
      <w:proofErr w:type="gramStart"/>
      <w:r>
        <w:rPr>
          <w:rFonts w:ascii="Times New Roman" w:hAnsi="Times New Roman" w:cs="Times New Roman"/>
        </w:rPr>
        <w:t>greater detail</w:t>
      </w:r>
      <w:proofErr w:type="gramEnd"/>
      <w:r>
        <w:rPr>
          <w:rFonts w:ascii="Times New Roman" w:hAnsi="Times New Roman" w:cs="Times New Roman"/>
        </w:rPr>
        <w:t>.</w:t>
      </w:r>
      <w:r>
        <w:rPr>
          <w:rStyle w:val="FootnoteReference"/>
          <w:rFonts w:ascii="Times New Roman" w:hAnsi="Times New Roman"/>
        </w:rPr>
        <w:footnoteReference w:id="135"/>
      </w:r>
    </w:p>
    <w:p w14:paraId="2CD39E23" w14:textId="3D75DF95" w:rsidR="00DB23F8" w:rsidRDefault="00DB23F8" w:rsidP="000315A5">
      <w:pPr>
        <w:bidi w:val="0"/>
        <w:ind w:firstLine="720"/>
        <w:jc w:val="both"/>
        <w:rPr>
          <w:rFonts w:ascii="Times New Roman" w:hAnsi="Times New Roman" w:cs="Times New Roman"/>
        </w:rPr>
      </w:pPr>
      <w:r>
        <w:rPr>
          <w:rFonts w:ascii="Times New Roman" w:hAnsi="Times New Roman" w:cs="Times New Roman"/>
        </w:rPr>
        <w:t xml:space="preserve">If the pathways created by the legal system to avoid knowingly punishing the innocent fail to achieve this goal, we </w:t>
      </w:r>
      <w:proofErr w:type="gramStart"/>
      <w:r>
        <w:rPr>
          <w:rFonts w:ascii="Times New Roman" w:hAnsi="Times New Roman" w:cs="Times New Roman"/>
        </w:rPr>
        <w:t>are left</w:t>
      </w:r>
      <w:proofErr w:type="gramEnd"/>
      <w:r>
        <w:rPr>
          <w:rFonts w:ascii="Times New Roman" w:hAnsi="Times New Roman" w:cs="Times New Roman"/>
        </w:rPr>
        <w:t xml:space="preserve"> with a deep normative dilemma</w:t>
      </w:r>
      <w:r w:rsidR="00747182">
        <w:rPr>
          <w:rFonts w:ascii="Times New Roman" w:hAnsi="Times New Roman" w:cs="Times New Roman"/>
        </w:rPr>
        <w:t xml:space="preserve">, which </w:t>
      </w:r>
      <w:r>
        <w:rPr>
          <w:rFonts w:ascii="Times New Roman" w:hAnsi="Times New Roman" w:cs="Times New Roman"/>
        </w:rPr>
        <w:t xml:space="preserve">will </w:t>
      </w:r>
      <w:r w:rsidR="00747182">
        <w:rPr>
          <w:rFonts w:ascii="Times New Roman" w:hAnsi="Times New Roman" w:cs="Times New Roman"/>
        </w:rPr>
        <w:t xml:space="preserve">be described </w:t>
      </w:r>
      <w:r>
        <w:rPr>
          <w:rFonts w:ascii="Times New Roman" w:hAnsi="Times New Roman" w:cs="Times New Roman"/>
        </w:rPr>
        <w:t>here. Within a utilitarian framework, knowingly punishing the innocent is generally undesirable.</w:t>
      </w:r>
      <w:r>
        <w:rPr>
          <w:rStyle w:val="FootnoteReference"/>
          <w:rFonts w:ascii="Times New Roman" w:hAnsi="Times New Roman"/>
        </w:rPr>
        <w:footnoteReference w:id="136"/>
      </w:r>
      <w:r>
        <w:rPr>
          <w:rFonts w:ascii="Times New Roman" w:hAnsi="Times New Roman" w:cs="Times New Roman"/>
        </w:rPr>
        <w:t xml:space="preserve"> A practice of framing an innocent person for the sake of general deterrence—a practice that has been suggested to be required by utilitarianism by its opponents</w:t>
      </w:r>
      <w:r>
        <w:rPr>
          <w:rStyle w:val="FootnoteReference"/>
          <w:rFonts w:ascii="Times New Roman" w:hAnsi="Times New Roman"/>
        </w:rPr>
        <w:footnoteReference w:id="137"/>
      </w:r>
      <w:r>
        <w:rPr>
          <w:rFonts w:ascii="Times New Roman" w:hAnsi="Times New Roman" w:cs="Times New Roman"/>
        </w:rPr>
        <w:t>—probably violates the tenants of utilitarianism.</w:t>
      </w:r>
      <w:r>
        <w:rPr>
          <w:rStyle w:val="FootnoteReference"/>
          <w:rFonts w:ascii="Times New Roman" w:hAnsi="Times New Roman"/>
        </w:rPr>
        <w:footnoteReference w:id="138"/>
      </w:r>
      <w:r>
        <w:rPr>
          <w:rFonts w:ascii="Times New Roman" w:hAnsi="Times New Roman" w:cs="Times New Roman"/>
        </w:rPr>
        <w:t xml:space="preserve"> Such a practice could lead to corruption because of the wide discretion </w:t>
      </w:r>
      <w:r w:rsidR="00747182">
        <w:rPr>
          <w:rFonts w:ascii="Times New Roman" w:hAnsi="Times New Roman" w:cs="Times New Roman"/>
        </w:rPr>
        <w:t xml:space="preserve">the </w:t>
      </w:r>
      <w:r>
        <w:rPr>
          <w:rFonts w:ascii="Times New Roman" w:hAnsi="Times New Roman" w:cs="Times New Roman"/>
        </w:rPr>
        <w:t>enforcing official hold</w:t>
      </w:r>
      <w:r w:rsidR="00747182">
        <w:rPr>
          <w:rFonts w:ascii="Times New Roman" w:hAnsi="Times New Roman" w:cs="Times New Roman"/>
        </w:rPr>
        <w:t xml:space="preserve">s </w:t>
      </w:r>
      <w:r>
        <w:rPr>
          <w:rFonts w:ascii="Times New Roman" w:hAnsi="Times New Roman" w:cs="Times New Roman"/>
        </w:rPr>
        <w:t xml:space="preserve">and to the dilution of the deterrent effect of the </w:t>
      </w:r>
      <w:proofErr w:type="gramStart"/>
      <w:r>
        <w:rPr>
          <w:rFonts w:ascii="Times New Roman" w:hAnsi="Times New Roman" w:cs="Times New Roman"/>
        </w:rPr>
        <w:t>law</w:t>
      </w:r>
      <w:proofErr w:type="gramEnd"/>
      <w:r>
        <w:rPr>
          <w:rFonts w:ascii="Times New Roman" w:hAnsi="Times New Roman" w:cs="Times New Roman"/>
        </w:rPr>
        <w:t xml:space="preserve"> as people will learn that a conviction does not mean an actual finding of guilt.</w:t>
      </w:r>
      <w:r>
        <w:rPr>
          <w:rStyle w:val="FootnoteReference"/>
          <w:rFonts w:ascii="Times New Roman" w:hAnsi="Times New Roman"/>
        </w:rPr>
        <w:footnoteReference w:id="139"/>
      </w:r>
      <w:r>
        <w:rPr>
          <w:rFonts w:ascii="Times New Roman" w:hAnsi="Times New Roman" w:cs="Times New Roman"/>
        </w:rPr>
        <w:t xml:space="preserve"> Yet </w:t>
      </w:r>
      <w:r w:rsidR="00747182">
        <w:rPr>
          <w:rFonts w:ascii="Times New Roman" w:hAnsi="Times New Roman" w:cs="Times New Roman"/>
        </w:rPr>
        <w:t xml:space="preserve">because </w:t>
      </w:r>
      <w:r>
        <w:rPr>
          <w:rFonts w:ascii="Times New Roman" w:hAnsi="Times New Roman" w:cs="Times New Roman"/>
        </w:rPr>
        <w:t xml:space="preserve">within a utilitarian framework there is no principled prohibition against knowingly punishing the innocent, utilitarianism does not rule out a criminal </w:t>
      </w:r>
      <w:r w:rsidR="00296EC3">
        <w:rPr>
          <w:rFonts w:ascii="Times New Roman" w:hAnsi="Times New Roman" w:cs="Times New Roman"/>
        </w:rPr>
        <w:t>offense</w:t>
      </w:r>
      <w:r>
        <w:rPr>
          <w:rFonts w:ascii="Times New Roman" w:hAnsi="Times New Roman" w:cs="Times New Roman"/>
        </w:rPr>
        <w:t xml:space="preserve"> that could promote social welfare at the cost of occasionally bringing about the conviction of a defendant known to be innocent. Such an </w:t>
      </w:r>
      <w:r w:rsidR="00296EC3">
        <w:rPr>
          <w:rFonts w:ascii="Times New Roman" w:hAnsi="Times New Roman" w:cs="Times New Roman"/>
        </w:rPr>
        <w:t>offense</w:t>
      </w:r>
      <w:r>
        <w:rPr>
          <w:rFonts w:ascii="Times New Roman" w:hAnsi="Times New Roman" w:cs="Times New Roman"/>
        </w:rPr>
        <w:t xml:space="preserve"> does not </w:t>
      </w:r>
      <w:r w:rsidR="007409FF">
        <w:rPr>
          <w:rFonts w:ascii="Times New Roman" w:hAnsi="Times New Roman" w:cs="Times New Roman"/>
        </w:rPr>
        <w:t xml:space="preserve">prompt </w:t>
      </w:r>
      <w:r>
        <w:rPr>
          <w:rFonts w:ascii="Times New Roman" w:hAnsi="Times New Roman" w:cs="Times New Roman"/>
        </w:rPr>
        <w:t>special concerns over corruption</w:t>
      </w:r>
      <w:r w:rsidR="007409FF">
        <w:rPr>
          <w:rFonts w:ascii="Times New Roman" w:hAnsi="Times New Roman" w:cs="Times New Roman"/>
        </w:rPr>
        <w:t xml:space="preserve"> </w:t>
      </w:r>
      <w:proofErr w:type="gramStart"/>
      <w:r w:rsidR="007409FF">
        <w:rPr>
          <w:rFonts w:ascii="Times New Roman" w:hAnsi="Times New Roman" w:cs="Times New Roman"/>
        </w:rPr>
        <w:t xml:space="preserve">because </w:t>
      </w:r>
      <w:r>
        <w:rPr>
          <w:rFonts w:ascii="Times New Roman" w:hAnsi="Times New Roman" w:cs="Times New Roman"/>
        </w:rPr>
        <w:t xml:space="preserve">its application is general and </w:t>
      </w:r>
      <w:r w:rsidR="007409FF">
        <w:rPr>
          <w:rFonts w:ascii="Times New Roman" w:hAnsi="Times New Roman" w:cs="Times New Roman"/>
        </w:rPr>
        <w:t xml:space="preserve">because </w:t>
      </w:r>
      <w:r w:rsidRPr="007409FF">
        <w:rPr>
          <w:rFonts w:ascii="Times New Roman" w:hAnsi="Times New Roman" w:cs="Times New Roman"/>
        </w:rPr>
        <w:t xml:space="preserve">the adjustment such an </w:t>
      </w:r>
      <w:r w:rsidR="00296EC3">
        <w:rPr>
          <w:rFonts w:ascii="Times New Roman" w:hAnsi="Times New Roman" w:cs="Times New Roman"/>
        </w:rPr>
        <w:t>offense</w:t>
      </w:r>
      <w:r w:rsidRPr="007409FF">
        <w:rPr>
          <w:rFonts w:ascii="Times New Roman" w:hAnsi="Times New Roman" w:cs="Times New Roman"/>
        </w:rPr>
        <w:t xml:space="preserve"> could bring to the burden of proof could bolster deterrence</w:t>
      </w:r>
      <w:proofErr w:type="gramEnd"/>
      <w:r w:rsidRPr="007409FF">
        <w:rPr>
          <w:rFonts w:ascii="Times New Roman" w:hAnsi="Times New Roman" w:cs="Times New Roman"/>
        </w:rPr>
        <w:t xml:space="preserve"> and not undermine it.</w:t>
      </w:r>
      <w:r w:rsidRPr="007409FF">
        <w:rPr>
          <w:rStyle w:val="FootnoteReference"/>
          <w:rFonts w:ascii="Times New Roman" w:hAnsi="Times New Roman"/>
        </w:rPr>
        <w:footnoteReference w:id="140"/>
      </w:r>
    </w:p>
    <w:p w14:paraId="4D667DA7" w14:textId="59CA9543" w:rsidR="00DB23F8" w:rsidRDefault="00DB23F8" w:rsidP="00D53462">
      <w:pPr>
        <w:bidi w:val="0"/>
        <w:ind w:firstLine="720"/>
        <w:jc w:val="both"/>
        <w:rPr>
          <w:rFonts w:ascii="Times New Roman" w:hAnsi="Times New Roman" w:cs="Times New Roman"/>
        </w:rPr>
      </w:pPr>
      <w:r>
        <w:rPr>
          <w:rFonts w:ascii="Times New Roman" w:hAnsi="Times New Roman" w:cs="Times New Roman"/>
        </w:rPr>
        <w:t>From a retributive perspective, however, things are trickier. If the retributive</w:t>
      </w:r>
      <w:r w:rsidRPr="0014083A">
        <w:rPr>
          <w:rFonts w:ascii="Times New Roman" w:hAnsi="Times New Roman" w:cs="Times New Roman"/>
        </w:rPr>
        <w:t xml:space="preserve"> prohibition against knowingly punishing the innocent is an absolute constraint that </w:t>
      </w:r>
      <w:proofErr w:type="gramStart"/>
      <w:r w:rsidRPr="0014083A">
        <w:rPr>
          <w:rFonts w:ascii="Times New Roman" w:hAnsi="Times New Roman" w:cs="Times New Roman"/>
        </w:rPr>
        <w:t>must be adhered</w:t>
      </w:r>
      <w:proofErr w:type="gramEnd"/>
      <w:r w:rsidRPr="0014083A">
        <w:rPr>
          <w:rFonts w:ascii="Times New Roman" w:hAnsi="Times New Roman" w:cs="Times New Roman"/>
        </w:rPr>
        <w:t xml:space="preserve"> to at any cost</w:t>
      </w:r>
      <w:r>
        <w:rPr>
          <w:rFonts w:ascii="Times New Roman" w:hAnsi="Times New Roman" w:cs="Times New Roman"/>
        </w:rPr>
        <w:t xml:space="preserve">, then it is impermissible to include </w:t>
      </w:r>
      <w:r w:rsidR="00296EC3">
        <w:rPr>
          <w:rFonts w:ascii="Times New Roman" w:hAnsi="Times New Roman" w:cs="Times New Roman"/>
        </w:rPr>
        <w:t>offense</w:t>
      </w:r>
      <w:r>
        <w:rPr>
          <w:rFonts w:ascii="Times New Roman" w:hAnsi="Times New Roman" w:cs="Times New Roman"/>
        </w:rPr>
        <w:t xml:space="preserve">s that will lead adjudicators to knowingly convict innocent defendants. </w:t>
      </w:r>
      <w:r w:rsidR="00747182">
        <w:rPr>
          <w:rFonts w:ascii="Times New Roman" w:hAnsi="Times New Roman" w:cs="Times New Roman"/>
        </w:rPr>
        <w:t>However, i</w:t>
      </w:r>
      <w:r>
        <w:rPr>
          <w:rFonts w:ascii="Times New Roman" w:hAnsi="Times New Roman" w:cs="Times New Roman"/>
        </w:rPr>
        <w:t>f</w:t>
      </w:r>
      <w:r w:rsidRPr="0014083A">
        <w:rPr>
          <w:rFonts w:ascii="Times New Roman" w:hAnsi="Times New Roman" w:cs="Times New Roman"/>
        </w:rPr>
        <w:t xml:space="preserve"> </w:t>
      </w:r>
      <w:r>
        <w:rPr>
          <w:rFonts w:ascii="Times New Roman" w:hAnsi="Times New Roman" w:cs="Times New Roman"/>
        </w:rPr>
        <w:t>the retributive</w:t>
      </w:r>
      <w:r w:rsidRPr="0014083A">
        <w:rPr>
          <w:rFonts w:ascii="Times New Roman" w:hAnsi="Times New Roman" w:cs="Times New Roman"/>
        </w:rPr>
        <w:t xml:space="preserve"> prohibition against knowingly punishing the innocent </w:t>
      </w:r>
      <w:r>
        <w:rPr>
          <w:rFonts w:ascii="Times New Roman" w:hAnsi="Times New Roman" w:cs="Times New Roman"/>
        </w:rPr>
        <w:t xml:space="preserve">is an </w:t>
      </w:r>
      <w:r w:rsidRPr="0014083A">
        <w:rPr>
          <w:rFonts w:ascii="Times New Roman" w:hAnsi="Times New Roman" w:cs="Times New Roman"/>
        </w:rPr>
        <w:t>all</w:t>
      </w:r>
      <w:r>
        <w:rPr>
          <w:rFonts w:ascii="Times New Roman" w:hAnsi="Times New Roman" w:cs="Times New Roman"/>
        </w:rPr>
        <w:t>-</w:t>
      </w:r>
      <w:r w:rsidRPr="0014083A">
        <w:rPr>
          <w:rFonts w:ascii="Times New Roman" w:hAnsi="Times New Roman" w:cs="Times New Roman"/>
        </w:rPr>
        <w:t>things</w:t>
      </w:r>
      <w:r>
        <w:rPr>
          <w:rFonts w:ascii="Times New Roman" w:hAnsi="Times New Roman" w:cs="Times New Roman"/>
        </w:rPr>
        <w:t>-</w:t>
      </w:r>
      <w:r w:rsidRPr="0014083A">
        <w:rPr>
          <w:rFonts w:ascii="Times New Roman" w:hAnsi="Times New Roman" w:cs="Times New Roman"/>
        </w:rPr>
        <w:t xml:space="preserve">considered </w:t>
      </w:r>
      <w:r>
        <w:rPr>
          <w:rFonts w:ascii="Times New Roman" w:hAnsi="Times New Roman" w:cs="Times New Roman"/>
        </w:rPr>
        <w:t>type of</w:t>
      </w:r>
      <w:r w:rsidRPr="0014083A">
        <w:rPr>
          <w:rFonts w:ascii="Times New Roman" w:hAnsi="Times New Roman" w:cs="Times New Roman"/>
        </w:rPr>
        <w:t xml:space="preserve"> prohibition</w:t>
      </w:r>
      <w:r>
        <w:rPr>
          <w:rFonts w:ascii="Times New Roman" w:hAnsi="Times New Roman" w:cs="Times New Roman"/>
        </w:rPr>
        <w:t xml:space="preserve">, then retributivists will need to examine it in light of the </w:t>
      </w:r>
      <w:r w:rsidR="00D53462">
        <w:rPr>
          <w:rFonts w:ascii="Times New Roman" w:hAnsi="Times New Roman" w:cs="Times New Roman"/>
        </w:rPr>
        <w:t xml:space="preserve">doctrinal reality that the burden of proof </w:t>
      </w:r>
      <w:proofErr w:type="gramStart"/>
      <w:r w:rsidR="00D53462">
        <w:rPr>
          <w:rFonts w:ascii="Times New Roman" w:hAnsi="Times New Roman" w:cs="Times New Roman"/>
        </w:rPr>
        <w:t>can only be</w:t>
      </w:r>
      <w:r>
        <w:rPr>
          <w:rFonts w:ascii="Times New Roman" w:hAnsi="Times New Roman" w:cs="Times New Roman"/>
        </w:rPr>
        <w:t xml:space="preserve"> adjust</w:t>
      </w:r>
      <w:r w:rsidR="00D53462">
        <w:rPr>
          <w:rFonts w:ascii="Times New Roman" w:hAnsi="Times New Roman" w:cs="Times New Roman"/>
        </w:rPr>
        <w:t>ed</w:t>
      </w:r>
      <w:proofErr w:type="gramEnd"/>
      <w:r>
        <w:rPr>
          <w:rFonts w:ascii="Times New Roman" w:hAnsi="Times New Roman" w:cs="Times New Roman"/>
        </w:rPr>
        <w:t xml:space="preserve"> via the substantive norms of criminal law</w:t>
      </w:r>
      <w:r w:rsidRPr="0014083A">
        <w:rPr>
          <w:rFonts w:ascii="Times New Roman" w:hAnsi="Times New Roman" w:cs="Times New Roman"/>
        </w:rPr>
        <w:t>.</w:t>
      </w:r>
      <w:r w:rsidR="00D53462" w:rsidRPr="007409FF">
        <w:rPr>
          <w:rStyle w:val="FootnoteReference"/>
          <w:rFonts w:ascii="Times New Roman" w:hAnsi="Times New Roman"/>
        </w:rPr>
        <w:footnoteReference w:id="141"/>
      </w:r>
      <w:r>
        <w:rPr>
          <w:rFonts w:ascii="Times New Roman" w:hAnsi="Times New Roman" w:cs="Times New Roman"/>
        </w:rPr>
        <w:t xml:space="preserve"> </w:t>
      </w:r>
      <w:r w:rsidRPr="0014083A">
        <w:rPr>
          <w:rFonts w:ascii="Times New Roman" w:hAnsi="Times New Roman" w:cs="Times New Roman"/>
        </w:rPr>
        <w:t>The absolute option allows negative retributivist</w:t>
      </w:r>
      <w:r w:rsidR="00747182">
        <w:rPr>
          <w:rFonts w:ascii="Times New Roman" w:hAnsi="Times New Roman" w:cs="Times New Roman"/>
        </w:rPr>
        <w:t>s</w:t>
      </w:r>
      <w:r w:rsidRPr="0014083A">
        <w:rPr>
          <w:rFonts w:ascii="Times New Roman" w:hAnsi="Times New Roman" w:cs="Times New Roman"/>
        </w:rPr>
        <w:t xml:space="preserve"> to hold</w:t>
      </w:r>
      <w:r w:rsidR="00747182">
        <w:rPr>
          <w:rFonts w:ascii="Times New Roman" w:hAnsi="Times New Roman" w:cs="Times New Roman"/>
        </w:rPr>
        <w:t xml:space="preserve"> </w:t>
      </w:r>
      <w:r w:rsidRPr="0014083A">
        <w:rPr>
          <w:rFonts w:ascii="Times New Roman" w:hAnsi="Times New Roman" w:cs="Times New Roman"/>
        </w:rPr>
        <w:t xml:space="preserve">on to the view that considerations of proof should not supersede substance in the realm of criminal </w:t>
      </w:r>
      <w:r w:rsidRPr="007409FF">
        <w:rPr>
          <w:rFonts w:ascii="Times New Roman" w:hAnsi="Times New Roman" w:cs="Times New Roman"/>
        </w:rPr>
        <w:t>law</w:t>
      </w:r>
      <w:r w:rsidRPr="00D67FCF">
        <w:rPr>
          <w:rFonts w:ascii="Times New Roman" w:hAnsi="Times New Roman" w:cs="Times New Roman"/>
        </w:rPr>
        <w:t xml:space="preserve"> </w:t>
      </w:r>
      <w:r w:rsidR="007409FF" w:rsidRPr="00D53462">
        <w:rPr>
          <w:rFonts w:ascii="Times New Roman" w:hAnsi="Times New Roman" w:cs="Times New Roman"/>
        </w:rPr>
        <w:t>but</w:t>
      </w:r>
      <w:r w:rsidR="007409FF" w:rsidRPr="007409FF">
        <w:rPr>
          <w:rFonts w:ascii="Times New Roman" w:hAnsi="Times New Roman" w:cs="Times New Roman"/>
        </w:rPr>
        <w:t xml:space="preserve"> </w:t>
      </w:r>
      <w:r w:rsidRPr="00D67FCF">
        <w:rPr>
          <w:rFonts w:ascii="Times New Roman" w:hAnsi="Times New Roman" w:cs="Times New Roman"/>
        </w:rPr>
        <w:t>at</w:t>
      </w:r>
      <w:r w:rsidRPr="0014083A">
        <w:rPr>
          <w:rFonts w:ascii="Times New Roman" w:hAnsi="Times New Roman" w:cs="Times New Roman"/>
        </w:rPr>
        <w:t xml:space="preserve"> the cost of adopting the position that consequences </w:t>
      </w:r>
      <w:r w:rsidRPr="0014083A">
        <w:rPr>
          <w:rFonts w:ascii="Times New Roman" w:hAnsi="Times New Roman" w:cs="Times New Roman"/>
        </w:rPr>
        <w:lastRenderedPageBreak/>
        <w:t xml:space="preserve">do not matter. It is beyond the scope of this </w:t>
      </w:r>
      <w:r>
        <w:rPr>
          <w:rFonts w:ascii="Times New Roman" w:hAnsi="Times New Roman" w:cs="Times New Roman"/>
        </w:rPr>
        <w:t>Article</w:t>
      </w:r>
      <w:r w:rsidRPr="0014083A">
        <w:rPr>
          <w:rFonts w:ascii="Times New Roman" w:hAnsi="Times New Roman" w:cs="Times New Roman"/>
        </w:rPr>
        <w:t xml:space="preserve"> to highlight the pitfalls associated with this position, yet most modern philosophers agree it is untrue that it is “better the whole people should perish”</w:t>
      </w:r>
      <w:r w:rsidRPr="0014083A">
        <w:rPr>
          <w:rStyle w:val="FootnoteReference"/>
          <w:rFonts w:ascii="Times New Roman" w:hAnsi="Times New Roman"/>
        </w:rPr>
        <w:footnoteReference w:id="142"/>
      </w:r>
      <w:r w:rsidRPr="0014083A">
        <w:rPr>
          <w:rFonts w:ascii="Times New Roman" w:hAnsi="Times New Roman" w:cs="Times New Roman"/>
        </w:rPr>
        <w:t xml:space="preserve"> than that injustice be done.</w:t>
      </w:r>
      <w:r w:rsidRPr="0014083A">
        <w:rPr>
          <w:rStyle w:val="FootnoteReference"/>
          <w:rFonts w:ascii="Times New Roman" w:hAnsi="Times New Roman"/>
        </w:rPr>
        <w:footnoteReference w:id="143"/>
      </w:r>
      <w:r w:rsidRPr="0014083A">
        <w:rPr>
          <w:rFonts w:ascii="Times New Roman" w:hAnsi="Times New Roman" w:cs="Times New Roman"/>
        </w:rPr>
        <w:t xml:space="preserve"> The all-things-considered option</w:t>
      </w:r>
      <w:r>
        <w:rPr>
          <w:rFonts w:ascii="Times New Roman" w:hAnsi="Times New Roman" w:cs="Times New Roman"/>
        </w:rPr>
        <w:t xml:space="preserve"> requires retributivists to do something they were reluctant to do thus far—to develop a theory of the burden of proof in criminal adjudication and to delineate the relationship between the burden of proof and the structure of substantive criminal law.</w:t>
      </w:r>
      <w:bookmarkStart w:id="37" w:name="_Ref438977096"/>
      <w:r w:rsidRPr="0014083A">
        <w:rPr>
          <w:rStyle w:val="FootnoteReference"/>
          <w:rFonts w:ascii="Times New Roman" w:hAnsi="Times New Roman"/>
        </w:rPr>
        <w:footnoteReference w:id="144"/>
      </w:r>
      <w:bookmarkEnd w:id="37"/>
      <w:r>
        <w:rPr>
          <w:rFonts w:ascii="Times New Roman" w:hAnsi="Times New Roman" w:cs="Times New Roman"/>
        </w:rPr>
        <w:t xml:space="preserve"> </w:t>
      </w:r>
    </w:p>
    <w:p w14:paraId="6FEF60CF" w14:textId="2D0A0BCA" w:rsidR="00DB23F8" w:rsidRDefault="00DB23F8" w:rsidP="00241647">
      <w:pPr>
        <w:bidi w:val="0"/>
        <w:ind w:firstLine="720"/>
        <w:jc w:val="both"/>
        <w:rPr>
          <w:rFonts w:ascii="Times New Roman" w:hAnsi="Times New Roman" w:cs="Times New Roman"/>
        </w:rPr>
      </w:pPr>
      <w:r>
        <w:rPr>
          <w:rFonts w:ascii="Times New Roman" w:hAnsi="Times New Roman" w:cs="Times New Roman"/>
        </w:rPr>
        <w:t xml:space="preserve">An alternative </w:t>
      </w:r>
      <w:r w:rsidR="00747182">
        <w:rPr>
          <w:rFonts w:ascii="Times New Roman" w:hAnsi="Times New Roman" w:cs="Times New Roman"/>
        </w:rPr>
        <w:t xml:space="preserve">for </w:t>
      </w:r>
      <w:r>
        <w:rPr>
          <w:rFonts w:ascii="Times New Roman" w:hAnsi="Times New Roman" w:cs="Times New Roman"/>
        </w:rPr>
        <w:t xml:space="preserve">retributivists is to view behavior that creates significant evidentiary uncertainty with respect to criminal liability as </w:t>
      </w:r>
      <w:r w:rsidR="00241647">
        <w:rPr>
          <w:rFonts w:ascii="Times New Roman" w:hAnsi="Times New Roman" w:cs="Times New Roman"/>
        </w:rPr>
        <w:t>an independent wrong</w:t>
      </w:r>
      <w:r>
        <w:rPr>
          <w:rFonts w:ascii="Times New Roman" w:hAnsi="Times New Roman" w:cs="Times New Roman"/>
        </w:rPr>
        <w:t xml:space="preserve">. According to this line of thought, the state may rationally choose to prohibit behaviors that </w:t>
      </w:r>
      <w:proofErr w:type="gramStart"/>
      <w:r>
        <w:rPr>
          <w:rFonts w:ascii="Times New Roman" w:hAnsi="Times New Roman" w:cs="Times New Roman"/>
        </w:rPr>
        <w:t>are correlated</w:t>
      </w:r>
      <w:proofErr w:type="gramEnd"/>
      <w:r>
        <w:rPr>
          <w:rFonts w:ascii="Times New Roman" w:hAnsi="Times New Roman" w:cs="Times New Roman"/>
        </w:rPr>
        <w:t xml:space="preserve"> with criminal conduct as part of its effort to distinguish between culpable and non-culpable behaviors.</w:t>
      </w:r>
      <w:r>
        <w:rPr>
          <w:rStyle w:val="FootnoteReference"/>
          <w:rFonts w:ascii="Times New Roman" w:hAnsi="Times New Roman"/>
        </w:rPr>
        <w:footnoteReference w:id="145"/>
      </w:r>
      <w:r>
        <w:rPr>
          <w:rFonts w:ascii="Times New Roman" w:hAnsi="Times New Roman" w:cs="Times New Roman"/>
        </w:rPr>
        <w:t xml:space="preserve"> More specifically, such behaviors entail at least two distinct evils. First, they hinder the work of the criminal justice system </w:t>
      </w:r>
      <w:r w:rsidR="00747182">
        <w:rPr>
          <w:rFonts w:ascii="Times New Roman" w:hAnsi="Times New Roman" w:cs="Times New Roman"/>
        </w:rPr>
        <w:t>because</w:t>
      </w:r>
      <w:r>
        <w:rPr>
          <w:rFonts w:ascii="Times New Roman" w:hAnsi="Times New Roman" w:cs="Times New Roman"/>
        </w:rPr>
        <w:t xml:space="preserve"> the system has to dedicate resources to ascertain their nature. A policeperson who detects an individual behaving in a manner that is highly indicative of a crime </w:t>
      </w:r>
      <w:proofErr w:type="gramStart"/>
      <w:r>
        <w:rPr>
          <w:rFonts w:ascii="Times New Roman" w:hAnsi="Times New Roman" w:cs="Times New Roman"/>
        </w:rPr>
        <w:t>is forced</w:t>
      </w:r>
      <w:proofErr w:type="gramEnd"/>
      <w:r>
        <w:rPr>
          <w:rFonts w:ascii="Times New Roman" w:hAnsi="Times New Roman" w:cs="Times New Roman"/>
        </w:rPr>
        <w:t xml:space="preserve"> to focus his attention on this individual to ascertain the nature of this behavior. This, in turn, </w:t>
      </w:r>
      <w:r w:rsidR="00D53462">
        <w:rPr>
          <w:rFonts w:ascii="Times New Roman" w:hAnsi="Times New Roman" w:cs="Times New Roman"/>
        </w:rPr>
        <w:t>impedes</w:t>
      </w:r>
      <w:r>
        <w:rPr>
          <w:rFonts w:ascii="Times New Roman" w:hAnsi="Times New Roman" w:cs="Times New Roman"/>
        </w:rPr>
        <w:t xml:space="preserve"> efforts of the criminal justice system to reduce crime. Second, as people come to respect evidentiary crimes and adhere to them, a separating equilibrium will slowly emerge. Those who do not have a culpable intent will refrain from violating the evidentiary crimes, and the remaining few that engage in suspicious behavior are highly likely to hold a truly culpable intent. Again, members of the community who violate laws that set out to create this separating equilibrium are blameworthy, </w:t>
      </w:r>
      <w:r w:rsidR="00F46FC4">
        <w:rPr>
          <w:rFonts w:ascii="Times New Roman" w:hAnsi="Times New Roman" w:cs="Times New Roman"/>
        </w:rPr>
        <w:t xml:space="preserve">as </w:t>
      </w:r>
      <w:r>
        <w:rPr>
          <w:rFonts w:ascii="Times New Roman" w:hAnsi="Times New Roman" w:cs="Times New Roman"/>
        </w:rPr>
        <w:t xml:space="preserve">their behavior undermines a legitimate state effort to combat crime. </w:t>
      </w:r>
    </w:p>
    <w:p w14:paraId="4D61C9AD" w14:textId="77777777" w:rsidR="00DB23F8" w:rsidRPr="0014083A" w:rsidRDefault="00DB23F8" w:rsidP="00D53462">
      <w:pPr>
        <w:bidi w:val="0"/>
        <w:ind w:firstLine="720"/>
        <w:jc w:val="both"/>
        <w:rPr>
          <w:rFonts w:ascii="Times New Roman" w:hAnsi="Times New Roman" w:cs="Times New Roman"/>
          <w:rtl/>
        </w:rPr>
      </w:pPr>
      <w:r>
        <w:rPr>
          <w:rFonts w:ascii="Times New Roman" w:hAnsi="Times New Roman" w:cs="Times New Roman"/>
        </w:rPr>
        <w:t xml:space="preserve">Two comments </w:t>
      </w:r>
      <w:proofErr w:type="gramStart"/>
      <w:r>
        <w:rPr>
          <w:rFonts w:ascii="Times New Roman" w:hAnsi="Times New Roman" w:cs="Times New Roman"/>
        </w:rPr>
        <w:t>should be made</w:t>
      </w:r>
      <w:proofErr w:type="gramEnd"/>
      <w:r>
        <w:rPr>
          <w:rFonts w:ascii="Times New Roman" w:hAnsi="Times New Roman" w:cs="Times New Roman"/>
        </w:rPr>
        <w:t xml:space="preserve"> with respect to the punishment deserved by those who violate evidentiary crimes. The evidentiary harm is by definition smaller than the actual harm it sets out to prevent. In this regard, the degree of wrongfulness that </w:t>
      </w:r>
      <w:proofErr w:type="gramStart"/>
      <w:r>
        <w:rPr>
          <w:rFonts w:ascii="Times New Roman" w:hAnsi="Times New Roman" w:cs="Times New Roman"/>
        </w:rPr>
        <w:t>can be attributed</w:t>
      </w:r>
      <w:proofErr w:type="gramEnd"/>
      <w:r>
        <w:rPr>
          <w:rFonts w:ascii="Times New Roman" w:hAnsi="Times New Roman" w:cs="Times New Roman"/>
        </w:rPr>
        <w:t xml:space="preserve"> to those who violate evidentiary crimes is relatively lower than the wrongfulness involved in core crimes such as murder, rape</w:t>
      </w:r>
      <w:r w:rsidR="00730372">
        <w:rPr>
          <w:rFonts w:ascii="Times New Roman" w:hAnsi="Times New Roman" w:cs="Times New Roman"/>
        </w:rPr>
        <w:t>,</w:t>
      </w:r>
      <w:r>
        <w:rPr>
          <w:rFonts w:ascii="Times New Roman" w:hAnsi="Times New Roman" w:cs="Times New Roman"/>
        </w:rPr>
        <w:t xml:space="preserve"> and theft. Consequently, the sanctions attached to evidentiary prohibitions should be </w:t>
      </w:r>
      <w:r w:rsidR="00D53462">
        <w:rPr>
          <w:rFonts w:ascii="Times New Roman" w:hAnsi="Times New Roman" w:cs="Times New Roman"/>
        </w:rPr>
        <w:t>less severe</w:t>
      </w:r>
      <w:r>
        <w:rPr>
          <w:rFonts w:ascii="Times New Roman" w:hAnsi="Times New Roman" w:cs="Times New Roman"/>
        </w:rPr>
        <w:t xml:space="preserve"> than those attached to core </w:t>
      </w:r>
      <w:proofErr w:type="gramStart"/>
      <w:r>
        <w:rPr>
          <w:rFonts w:ascii="Times New Roman" w:hAnsi="Times New Roman" w:cs="Times New Roman"/>
        </w:rPr>
        <w:t>crimes</w:t>
      </w:r>
      <w:proofErr w:type="gramEnd"/>
      <w:r>
        <w:rPr>
          <w:rFonts w:ascii="Times New Roman" w:hAnsi="Times New Roman" w:cs="Times New Roman"/>
        </w:rPr>
        <w:t xml:space="preserve">. </w:t>
      </w:r>
      <w:r w:rsidR="00730372">
        <w:rPr>
          <w:rFonts w:ascii="Times New Roman" w:hAnsi="Times New Roman" w:cs="Times New Roman"/>
        </w:rPr>
        <w:t>However</w:t>
      </w:r>
      <w:r>
        <w:rPr>
          <w:rFonts w:ascii="Times New Roman" w:hAnsi="Times New Roman" w:cs="Times New Roman"/>
        </w:rPr>
        <w:t xml:space="preserve">, as the separating equilibrium created by evidentiary crimes </w:t>
      </w:r>
      <w:proofErr w:type="gramStart"/>
      <w:r>
        <w:rPr>
          <w:rFonts w:ascii="Times New Roman" w:hAnsi="Times New Roman" w:cs="Times New Roman"/>
        </w:rPr>
        <w:t>is strengthened</w:t>
      </w:r>
      <w:proofErr w:type="gramEnd"/>
      <w:r>
        <w:rPr>
          <w:rFonts w:ascii="Times New Roman" w:hAnsi="Times New Roman" w:cs="Times New Roman"/>
        </w:rPr>
        <w:t xml:space="preserve">, the ability to deduce actual culpable intent </w:t>
      </w:r>
      <w:r w:rsidR="00730372">
        <w:rPr>
          <w:rFonts w:ascii="Times New Roman" w:hAnsi="Times New Roman" w:cs="Times New Roman"/>
        </w:rPr>
        <w:t>increases</w:t>
      </w:r>
      <w:r>
        <w:rPr>
          <w:rFonts w:ascii="Times New Roman" w:hAnsi="Times New Roman" w:cs="Times New Roman"/>
        </w:rPr>
        <w:t xml:space="preserve">. If all those who do not have a culpable mind refrain from the </w:t>
      </w:r>
      <w:r>
        <w:rPr>
          <w:rFonts w:ascii="Times New Roman" w:hAnsi="Times New Roman" w:cs="Times New Roman"/>
        </w:rPr>
        <w:lastRenderedPageBreak/>
        <w:t xml:space="preserve">suspicious behavior that constitutes the evidentiary crime, then the remaining few that engage in such behavior are highly likely to </w:t>
      </w:r>
      <w:r w:rsidR="00730372">
        <w:rPr>
          <w:rFonts w:ascii="Times New Roman" w:hAnsi="Times New Roman" w:cs="Times New Roman"/>
        </w:rPr>
        <w:t xml:space="preserve">have </w:t>
      </w:r>
      <w:r>
        <w:rPr>
          <w:rFonts w:ascii="Times New Roman" w:hAnsi="Times New Roman" w:cs="Times New Roman"/>
        </w:rPr>
        <w:t>a truly culpable intent. As the separating equilibrium becomes more established, the sanctions that may be applied to evidentiary crimes might grow as the underlying theory of punishment shifts from evidentiary harm to the high probability of actual wrongdoing.</w:t>
      </w:r>
    </w:p>
    <w:p w14:paraId="662EAD7A" w14:textId="77777777" w:rsidR="00DB23F8" w:rsidRDefault="00DB23F8" w:rsidP="007841DA">
      <w:pPr>
        <w:bidi w:val="0"/>
        <w:ind w:firstLine="720"/>
        <w:jc w:val="center"/>
        <w:rPr>
          <w:rFonts w:ascii="Times New Roman" w:hAnsi="Times New Roman" w:cs="Times New Roman"/>
        </w:rPr>
      </w:pPr>
    </w:p>
    <w:p w14:paraId="27C21277" w14:textId="77777777" w:rsidR="00DB23F8" w:rsidRPr="0014083A" w:rsidRDefault="00DB23F8" w:rsidP="00EF21F6">
      <w:pPr>
        <w:pStyle w:val="ListParagraph"/>
        <w:keepNext/>
        <w:numPr>
          <w:ilvl w:val="0"/>
          <w:numId w:val="5"/>
        </w:numPr>
        <w:bidi w:val="0"/>
        <w:jc w:val="center"/>
        <w:rPr>
          <w:rFonts w:ascii="Times New Roman" w:hAnsi="Times New Roman" w:cs="Times New Roman"/>
          <w:b/>
          <w:bCs/>
        </w:rPr>
      </w:pPr>
      <w:r>
        <w:rPr>
          <w:rFonts w:ascii="Times New Roman" w:hAnsi="Times New Roman" w:cs="Times New Roman"/>
          <w:b/>
          <w:bCs/>
          <w:smallCaps/>
          <w:sz w:val="24"/>
          <w:szCs w:val="24"/>
        </w:rPr>
        <w:t xml:space="preserve">Evidentiary Gradation of Sanctions: </w:t>
      </w:r>
      <w:r w:rsidRPr="0089408A">
        <w:rPr>
          <w:rFonts w:ascii="Times New Roman" w:hAnsi="Times New Roman" w:cs="Times New Roman"/>
          <w:b/>
          <w:bCs/>
          <w:smallCaps/>
          <w:sz w:val="24"/>
          <w:szCs w:val="24"/>
        </w:rPr>
        <w:t>Applications</w:t>
      </w:r>
    </w:p>
    <w:p w14:paraId="5B4B1D58" w14:textId="5605877D" w:rsidR="00DB23F8" w:rsidRDefault="00241647" w:rsidP="00241647">
      <w:pPr>
        <w:keepNext/>
        <w:bidi w:val="0"/>
        <w:ind w:firstLine="720"/>
        <w:jc w:val="both"/>
        <w:rPr>
          <w:rFonts w:ascii="Times New Roman" w:hAnsi="Times New Roman" w:cs="Times New Roman"/>
        </w:rPr>
      </w:pPr>
      <w:r>
        <w:rPr>
          <w:rFonts w:ascii="Times New Roman" w:hAnsi="Times New Roman" w:cs="Times New Roman"/>
        </w:rPr>
        <w:t>After the previous Section laid out the theory of evidentiary graded crimes in the abstract, t</w:t>
      </w:r>
      <w:r w:rsidR="00DB23F8" w:rsidRPr="0014083A">
        <w:rPr>
          <w:rFonts w:ascii="Times New Roman" w:hAnsi="Times New Roman" w:cs="Times New Roman"/>
        </w:rPr>
        <w:t xml:space="preserve">his </w:t>
      </w:r>
      <w:r w:rsidR="00DB23F8">
        <w:rPr>
          <w:rFonts w:ascii="Times New Roman" w:hAnsi="Times New Roman" w:cs="Times New Roman"/>
        </w:rPr>
        <w:t>Section</w:t>
      </w:r>
      <w:r w:rsidR="00DB23F8" w:rsidRPr="0014083A">
        <w:rPr>
          <w:rFonts w:ascii="Times New Roman" w:hAnsi="Times New Roman" w:cs="Times New Roman"/>
        </w:rPr>
        <w:t xml:space="preserve"> highlights the role that evidentiary uncertainty plays in the design</w:t>
      </w:r>
      <w:r w:rsidR="00DB23F8">
        <w:rPr>
          <w:rFonts w:ascii="Times New Roman" w:hAnsi="Times New Roman" w:cs="Times New Roman"/>
          <w:rtl/>
        </w:rPr>
        <w:t xml:space="preserve"> </w:t>
      </w:r>
      <w:r w:rsidR="00DB23F8">
        <w:rPr>
          <w:rFonts w:ascii="Times New Roman" w:hAnsi="Times New Roman" w:cs="Times New Roman"/>
        </w:rPr>
        <w:t>of</w:t>
      </w:r>
      <w:r w:rsidR="00DB23F8">
        <w:rPr>
          <w:rFonts w:ascii="Times New Roman" w:hAnsi="Times New Roman" w:cs="Times New Roman"/>
          <w:rtl/>
        </w:rPr>
        <w:t xml:space="preserve"> </w:t>
      </w:r>
      <w:r w:rsidR="00DB23F8" w:rsidRPr="0014083A">
        <w:rPr>
          <w:rFonts w:ascii="Times New Roman" w:hAnsi="Times New Roman" w:cs="Times New Roman"/>
        </w:rPr>
        <w:t xml:space="preserve">numerous doctrines within criminal law. It opens by identifying how evidentiary concerns drive the design of the objective elements of crimes. </w:t>
      </w:r>
      <w:r w:rsidR="00730372">
        <w:rPr>
          <w:rFonts w:ascii="Times New Roman" w:hAnsi="Times New Roman" w:cs="Times New Roman"/>
        </w:rPr>
        <w:t xml:space="preserve">It will then </w:t>
      </w:r>
      <w:r w:rsidR="00DB23F8" w:rsidRPr="0014083A">
        <w:rPr>
          <w:rFonts w:ascii="Times New Roman" w:hAnsi="Times New Roman" w:cs="Times New Roman"/>
        </w:rPr>
        <w:t xml:space="preserve">show that evidentiary considerations play a role in the design of mental states. Finally, the </w:t>
      </w:r>
      <w:r w:rsidR="00DB23F8">
        <w:rPr>
          <w:rFonts w:ascii="Times New Roman" w:hAnsi="Times New Roman" w:cs="Times New Roman"/>
        </w:rPr>
        <w:t>Section</w:t>
      </w:r>
      <w:r w:rsidR="00DB23F8" w:rsidRPr="0014083A">
        <w:rPr>
          <w:rFonts w:ascii="Times New Roman" w:hAnsi="Times New Roman" w:cs="Times New Roman"/>
        </w:rPr>
        <w:t xml:space="preserve"> will delineate how the subjective and objective elements of the crime interact to create a matrix of crimes attuned to evidentiary concerns.</w:t>
      </w:r>
    </w:p>
    <w:p w14:paraId="6BB1A90F" w14:textId="77777777" w:rsidR="00DB23F8" w:rsidRPr="000F499D" w:rsidRDefault="00DB23F8" w:rsidP="00D81290">
      <w:pPr>
        <w:pStyle w:val="ListParagraph"/>
        <w:keepNext/>
        <w:numPr>
          <w:ilvl w:val="0"/>
          <w:numId w:val="13"/>
        </w:numPr>
        <w:bidi w:val="0"/>
        <w:jc w:val="both"/>
        <w:rPr>
          <w:rFonts w:ascii="Times New Roman" w:hAnsi="Times New Roman" w:cs="Times New Roman"/>
          <w:i/>
          <w:iCs/>
        </w:rPr>
      </w:pPr>
      <w:r w:rsidRPr="000F499D">
        <w:rPr>
          <w:rFonts w:ascii="Times New Roman" w:hAnsi="Times New Roman" w:cs="Times New Roman"/>
          <w:i/>
          <w:iCs/>
        </w:rPr>
        <w:t>The Objective Elements of the Crime</w:t>
      </w:r>
    </w:p>
    <w:p w14:paraId="19AF9A77" w14:textId="150173BA" w:rsidR="00DB23F8" w:rsidRPr="0014083A" w:rsidRDefault="00DB23F8" w:rsidP="006022B9">
      <w:pPr>
        <w:keepNext/>
        <w:bidi w:val="0"/>
        <w:ind w:firstLine="720"/>
        <w:jc w:val="both"/>
        <w:rPr>
          <w:rFonts w:ascii="Times New Roman" w:hAnsi="Times New Roman" w:cs="Times New Roman"/>
        </w:rPr>
      </w:pPr>
      <w:r w:rsidRPr="0014083A">
        <w:rPr>
          <w:rFonts w:ascii="Times New Roman" w:hAnsi="Times New Roman" w:cs="Times New Roman"/>
        </w:rPr>
        <w:t xml:space="preserve">The objective element of the crime defines the conduct, attendant circumstances, and results that constitute a criminal offense. The existing discussions on the objective elements of the crime tend to focus on the question </w:t>
      </w:r>
      <w:r w:rsidR="004E5B32">
        <w:rPr>
          <w:rFonts w:ascii="Times New Roman" w:hAnsi="Times New Roman" w:cs="Times New Roman"/>
        </w:rPr>
        <w:t xml:space="preserve">of </w:t>
      </w:r>
      <w:r w:rsidRPr="0014083A">
        <w:rPr>
          <w:rFonts w:ascii="Times New Roman" w:hAnsi="Times New Roman" w:cs="Times New Roman"/>
        </w:rPr>
        <w:t xml:space="preserve">whether the defined crime reflects </w:t>
      </w:r>
      <w:r>
        <w:rPr>
          <w:rFonts w:ascii="Times New Roman" w:hAnsi="Times New Roman" w:cs="Times New Roman"/>
        </w:rPr>
        <w:t>an unreasonable</w:t>
      </w:r>
      <w:r w:rsidRPr="0014083A">
        <w:rPr>
          <w:rFonts w:ascii="Times New Roman" w:hAnsi="Times New Roman" w:cs="Times New Roman"/>
        </w:rPr>
        <w:t xml:space="preserve"> risk to a legally protected interest.</w:t>
      </w:r>
      <w:r>
        <w:rPr>
          <w:rStyle w:val="FootnoteReference"/>
          <w:rFonts w:ascii="Times New Roman" w:hAnsi="Times New Roman"/>
        </w:rPr>
        <w:footnoteReference w:id="146"/>
      </w:r>
      <w:r w:rsidRPr="0014083A">
        <w:rPr>
          <w:rFonts w:ascii="Times New Roman" w:hAnsi="Times New Roman" w:cs="Times New Roman"/>
        </w:rPr>
        <w:t xml:space="preserve"> As the </w:t>
      </w:r>
      <w:r w:rsidR="00296EC3">
        <w:rPr>
          <w:rFonts w:ascii="Times New Roman" w:hAnsi="Times New Roman" w:cs="Times New Roman"/>
        </w:rPr>
        <w:t>offense</w:t>
      </w:r>
      <w:r>
        <w:rPr>
          <w:rFonts w:ascii="Times New Roman" w:hAnsi="Times New Roman" w:cs="Times New Roman"/>
        </w:rPr>
        <w:t>s</w:t>
      </w:r>
      <w:r w:rsidRPr="0014083A">
        <w:rPr>
          <w:rFonts w:ascii="Times New Roman" w:hAnsi="Times New Roman" w:cs="Times New Roman"/>
        </w:rPr>
        <w:t xml:space="preserve"> reviewed here demonstrate, evidentiary uncertainty can explain a wide </w:t>
      </w:r>
      <w:r w:rsidR="004E5B32">
        <w:rPr>
          <w:rFonts w:ascii="Times New Roman" w:hAnsi="Times New Roman" w:cs="Times New Roman"/>
        </w:rPr>
        <w:t>range</w:t>
      </w:r>
      <w:r w:rsidRPr="0014083A">
        <w:rPr>
          <w:rFonts w:ascii="Times New Roman" w:hAnsi="Times New Roman" w:cs="Times New Roman"/>
        </w:rPr>
        <w:t xml:space="preserve"> of criminal </w:t>
      </w:r>
      <w:r>
        <w:rPr>
          <w:rFonts w:ascii="Times New Roman" w:hAnsi="Times New Roman" w:cs="Times New Roman"/>
        </w:rPr>
        <w:t>law</w:t>
      </w:r>
      <w:r w:rsidRPr="0014083A">
        <w:rPr>
          <w:rFonts w:ascii="Times New Roman" w:hAnsi="Times New Roman" w:cs="Times New Roman"/>
        </w:rPr>
        <w:t>.</w:t>
      </w:r>
    </w:p>
    <w:p w14:paraId="00C57E02" w14:textId="77777777" w:rsidR="00DB23F8" w:rsidRPr="007C4F65" w:rsidRDefault="00DB23F8" w:rsidP="006022B9">
      <w:pPr>
        <w:bidi w:val="0"/>
        <w:ind w:firstLine="720"/>
        <w:jc w:val="both"/>
        <w:rPr>
          <w:rFonts w:ascii="Times New Roman" w:hAnsi="Times New Roman" w:cs="Times New Roman"/>
          <w:sz w:val="20"/>
          <w:szCs w:val="20"/>
        </w:rPr>
      </w:pPr>
      <w:r>
        <w:rPr>
          <w:rFonts w:ascii="Times New Roman" w:hAnsi="Times New Roman" w:cs="Times New Roman"/>
        </w:rPr>
        <w:t>The first and perhaps clearest example</w:t>
      </w:r>
      <w:r w:rsidR="004E5B32">
        <w:rPr>
          <w:rFonts w:ascii="Times New Roman" w:hAnsi="Times New Roman" w:cs="Times New Roman"/>
        </w:rPr>
        <w:t xml:space="preserve"> of</w:t>
      </w:r>
      <w:r>
        <w:rPr>
          <w:rFonts w:ascii="Times New Roman" w:hAnsi="Times New Roman" w:cs="Times New Roman"/>
        </w:rPr>
        <w:t xml:space="preserve"> the evidentiary theory in practice </w:t>
      </w:r>
      <w:proofErr w:type="gramStart"/>
      <w:r>
        <w:rPr>
          <w:rFonts w:ascii="Times New Roman" w:hAnsi="Times New Roman" w:cs="Times New Roman"/>
        </w:rPr>
        <w:t>can be found</w:t>
      </w:r>
      <w:proofErr w:type="gramEnd"/>
      <w:r>
        <w:rPr>
          <w:rFonts w:ascii="Times New Roman" w:hAnsi="Times New Roman" w:cs="Times New Roman"/>
        </w:rPr>
        <w:t xml:space="preserve"> in the context of p</w:t>
      </w:r>
      <w:r w:rsidRPr="001603B2">
        <w:rPr>
          <w:rFonts w:ascii="Times New Roman" w:hAnsi="Times New Roman" w:cs="Times New Roman"/>
        </w:rPr>
        <w:t xml:space="preserve">roxy </w:t>
      </w:r>
      <w:r>
        <w:rPr>
          <w:rFonts w:ascii="Times New Roman" w:hAnsi="Times New Roman" w:cs="Times New Roman"/>
        </w:rPr>
        <w:t>c</w:t>
      </w:r>
      <w:r w:rsidRPr="001603B2">
        <w:rPr>
          <w:rFonts w:ascii="Times New Roman" w:hAnsi="Times New Roman" w:cs="Times New Roman"/>
        </w:rPr>
        <w:t>rimes</w:t>
      </w:r>
      <w:r>
        <w:rPr>
          <w:rFonts w:ascii="Times New Roman" w:hAnsi="Times New Roman" w:cs="Times New Roman"/>
        </w:rPr>
        <w:t>.</w:t>
      </w:r>
      <w:r w:rsidRPr="001603B2">
        <w:rPr>
          <w:rFonts w:ascii="Times New Roman" w:hAnsi="Times New Roman" w:cs="Times New Roman"/>
        </w:rPr>
        <w:t xml:space="preserve"> A proxy crime is a crime “that bars conduct that neither causes nor risks harm but is correlated with other conduct that is harmful or risky.”</w:t>
      </w:r>
      <w:r w:rsidRPr="001603B2">
        <w:rPr>
          <w:rStyle w:val="FootnoteReference"/>
          <w:rFonts w:ascii="Times New Roman" w:hAnsi="Times New Roman"/>
        </w:rPr>
        <w:footnoteReference w:id="147"/>
      </w:r>
      <w:r w:rsidRPr="001603B2">
        <w:rPr>
          <w:rFonts w:ascii="Times New Roman" w:hAnsi="Times New Roman" w:cs="Times New Roman"/>
        </w:rPr>
        <w:t xml:space="preserve"> </w:t>
      </w:r>
      <w:r>
        <w:rPr>
          <w:rFonts w:ascii="Times New Roman" w:hAnsi="Times New Roman" w:cs="Times New Roman"/>
        </w:rPr>
        <w:t xml:space="preserve">In some cases, the connection between the proxy crime and the underlying prohibited behavior is explicit and clear. </w:t>
      </w:r>
      <w:r w:rsidR="004E5B32">
        <w:rPr>
          <w:rFonts w:ascii="Times New Roman" w:hAnsi="Times New Roman" w:cs="Times New Roman"/>
        </w:rPr>
        <w:t>For instance, t</w:t>
      </w:r>
      <w:r w:rsidR="004E5B32" w:rsidRPr="001603B2">
        <w:rPr>
          <w:rFonts w:ascii="Times New Roman" w:hAnsi="Times New Roman" w:cs="Times New Roman"/>
        </w:rPr>
        <w:t>ake</w:t>
      </w:r>
      <w:r w:rsidRPr="001603B2">
        <w:rPr>
          <w:rFonts w:ascii="Times New Roman" w:hAnsi="Times New Roman" w:cs="Times New Roman"/>
        </w:rPr>
        <w:t xml:space="preserve"> the crime of driving with an open container of alcohol in a vehicle.</w:t>
      </w:r>
      <w:r w:rsidRPr="001603B2">
        <w:rPr>
          <w:rStyle w:val="FootnoteReference"/>
          <w:rFonts w:ascii="Times New Roman" w:hAnsi="Times New Roman"/>
        </w:rPr>
        <w:footnoteReference w:id="148"/>
      </w:r>
      <w:r w:rsidRPr="001603B2">
        <w:rPr>
          <w:rFonts w:ascii="Times New Roman" w:hAnsi="Times New Roman" w:cs="Times New Roman"/>
        </w:rPr>
        <w:t xml:space="preserve"> While this behavior might seem harmless and </w:t>
      </w:r>
      <w:r w:rsidR="004E5B32">
        <w:rPr>
          <w:rFonts w:ascii="Times New Roman" w:hAnsi="Times New Roman" w:cs="Times New Roman"/>
        </w:rPr>
        <w:t xml:space="preserve">might </w:t>
      </w:r>
      <w:r w:rsidRPr="001603B2">
        <w:rPr>
          <w:rFonts w:ascii="Times New Roman" w:hAnsi="Times New Roman" w:cs="Times New Roman"/>
        </w:rPr>
        <w:t>not merit criminal liability, it might also be easy</w:t>
      </w:r>
      <w:r w:rsidR="004E5B32">
        <w:rPr>
          <w:rFonts w:ascii="Times New Roman" w:hAnsi="Times New Roman" w:cs="Times New Roman"/>
        </w:rPr>
        <w:t xml:space="preserve"> </w:t>
      </w:r>
      <w:r w:rsidRPr="001603B2">
        <w:rPr>
          <w:rFonts w:ascii="Times New Roman" w:hAnsi="Times New Roman" w:cs="Times New Roman"/>
        </w:rPr>
        <w:t>to</w:t>
      </w:r>
      <w:r w:rsidR="004E5B32">
        <w:rPr>
          <w:rFonts w:ascii="Times New Roman" w:hAnsi="Times New Roman" w:cs="Times New Roman"/>
        </w:rPr>
        <w:t xml:space="preserve"> </w:t>
      </w:r>
      <w:r w:rsidRPr="001603B2">
        <w:rPr>
          <w:rFonts w:ascii="Times New Roman" w:hAnsi="Times New Roman" w:cs="Times New Roman"/>
        </w:rPr>
        <w:t>prove and highly correlated with drunk driving</w:t>
      </w:r>
      <w:r>
        <w:rPr>
          <w:rFonts w:ascii="Times New Roman" w:hAnsi="Times New Roman" w:cs="Times New Roman"/>
        </w:rPr>
        <w:t>—a harmful behavior that merits punishment but is often difficult to prove</w:t>
      </w:r>
      <w:r w:rsidRPr="001603B2">
        <w:rPr>
          <w:rFonts w:ascii="Times New Roman" w:hAnsi="Times New Roman" w:cs="Times New Roman"/>
        </w:rPr>
        <w:t>.</w:t>
      </w:r>
      <w:r w:rsidRPr="001603B2">
        <w:rPr>
          <w:rStyle w:val="FootnoteReference"/>
          <w:rFonts w:ascii="Times New Roman" w:hAnsi="Times New Roman"/>
        </w:rPr>
        <w:footnoteReference w:id="149"/>
      </w:r>
      <w:r w:rsidRPr="001603B2">
        <w:rPr>
          <w:rFonts w:ascii="Times New Roman" w:hAnsi="Times New Roman" w:cs="Times New Roman"/>
        </w:rPr>
        <w:t xml:space="preserve"> </w:t>
      </w:r>
      <w:r>
        <w:rPr>
          <w:rFonts w:ascii="Times New Roman" w:hAnsi="Times New Roman" w:cs="Times New Roman"/>
        </w:rPr>
        <w:t>B</w:t>
      </w:r>
      <w:r w:rsidRPr="001603B2">
        <w:rPr>
          <w:rFonts w:ascii="Times New Roman" w:hAnsi="Times New Roman" w:cs="Times New Roman"/>
        </w:rPr>
        <w:t>y criminalizing driving with an open container</w:t>
      </w:r>
      <w:r w:rsidR="004E5B32">
        <w:rPr>
          <w:rFonts w:ascii="Times New Roman" w:hAnsi="Times New Roman" w:cs="Times New Roman"/>
        </w:rPr>
        <w:t xml:space="preserve"> of alcohol,</w:t>
      </w:r>
      <w:r w:rsidRPr="001603B2">
        <w:rPr>
          <w:rFonts w:ascii="Times New Roman" w:hAnsi="Times New Roman" w:cs="Times New Roman"/>
        </w:rPr>
        <w:t xml:space="preserve"> policymakers can punish offenders who might have committed </w:t>
      </w:r>
      <w:r>
        <w:rPr>
          <w:rFonts w:ascii="Times New Roman" w:hAnsi="Times New Roman" w:cs="Times New Roman"/>
        </w:rPr>
        <w:t xml:space="preserve">the </w:t>
      </w:r>
      <w:r w:rsidRPr="001603B2">
        <w:rPr>
          <w:rFonts w:ascii="Times New Roman" w:hAnsi="Times New Roman" w:cs="Times New Roman"/>
        </w:rPr>
        <w:t>wrongful act</w:t>
      </w:r>
      <w:r>
        <w:rPr>
          <w:rFonts w:ascii="Times New Roman" w:hAnsi="Times New Roman" w:cs="Times New Roman"/>
        </w:rPr>
        <w:t xml:space="preserve"> of driving under the influence of alcohol</w:t>
      </w:r>
      <w:r w:rsidRPr="001603B2">
        <w:rPr>
          <w:rFonts w:ascii="Times New Roman" w:hAnsi="Times New Roman" w:cs="Times New Roman"/>
        </w:rPr>
        <w:t>.</w:t>
      </w:r>
      <w:r w:rsidRPr="001603B2">
        <w:rPr>
          <w:rStyle w:val="FootnoteReference"/>
          <w:rFonts w:ascii="Times New Roman" w:hAnsi="Times New Roman"/>
        </w:rPr>
        <w:footnoteReference w:id="150"/>
      </w:r>
      <w:r w:rsidRPr="001603B2">
        <w:rPr>
          <w:rFonts w:ascii="Times New Roman" w:hAnsi="Times New Roman" w:cs="Times New Roman"/>
        </w:rPr>
        <w:t xml:space="preserve"> </w:t>
      </w:r>
      <w:r>
        <w:rPr>
          <w:rFonts w:ascii="Times New Roman" w:hAnsi="Times New Roman" w:cs="Times New Roman"/>
        </w:rPr>
        <w:t xml:space="preserve">Similarly, many dimensions of corruption law </w:t>
      </w:r>
      <w:proofErr w:type="gramStart"/>
      <w:r>
        <w:rPr>
          <w:rFonts w:ascii="Times New Roman" w:hAnsi="Times New Roman" w:cs="Times New Roman"/>
        </w:rPr>
        <w:t>can be seen</w:t>
      </w:r>
      <w:proofErr w:type="gramEnd"/>
      <w:r>
        <w:rPr>
          <w:rFonts w:ascii="Times New Roman" w:hAnsi="Times New Roman" w:cs="Times New Roman"/>
        </w:rPr>
        <w:t xml:space="preserve"> as a framework of proxy crimes. Behaviors such as receiving gifts and making decisions when undisclosed private interests are involved constitute crimes.</w:t>
      </w:r>
      <w:r>
        <w:rPr>
          <w:rStyle w:val="FootnoteReference"/>
          <w:rFonts w:ascii="Times New Roman" w:hAnsi="Times New Roman"/>
        </w:rPr>
        <w:footnoteReference w:id="151"/>
      </w:r>
      <w:r>
        <w:rPr>
          <w:rFonts w:ascii="Times New Roman" w:hAnsi="Times New Roman" w:cs="Times New Roman"/>
        </w:rPr>
        <w:t xml:space="preserve"> </w:t>
      </w:r>
      <w:r w:rsidR="004E5B32">
        <w:rPr>
          <w:rFonts w:ascii="Times New Roman" w:hAnsi="Times New Roman" w:cs="Times New Roman"/>
        </w:rPr>
        <w:t>H</w:t>
      </w:r>
      <w:r>
        <w:rPr>
          <w:rFonts w:ascii="Times New Roman" w:hAnsi="Times New Roman" w:cs="Times New Roman"/>
        </w:rPr>
        <w:t xml:space="preserve">owever, </w:t>
      </w:r>
      <w:r w:rsidR="004E5B32">
        <w:rPr>
          <w:rFonts w:ascii="Times New Roman" w:hAnsi="Times New Roman" w:cs="Times New Roman"/>
        </w:rPr>
        <w:t xml:space="preserve">these crimes </w:t>
      </w:r>
      <w:r>
        <w:rPr>
          <w:rFonts w:ascii="Times New Roman" w:hAnsi="Times New Roman" w:cs="Times New Roman"/>
        </w:rPr>
        <w:t>often encompass non-culpable behavior.</w:t>
      </w:r>
      <w:r>
        <w:rPr>
          <w:rStyle w:val="FootnoteReference"/>
          <w:rFonts w:ascii="Times New Roman" w:hAnsi="Times New Roman"/>
        </w:rPr>
        <w:footnoteReference w:id="152"/>
      </w:r>
      <w:r>
        <w:rPr>
          <w:rFonts w:ascii="Times New Roman" w:hAnsi="Times New Roman" w:cs="Times New Roman"/>
        </w:rPr>
        <w:t xml:space="preserve"> Nonetheless, these crimes </w:t>
      </w:r>
      <w:r>
        <w:rPr>
          <w:rFonts w:ascii="Times New Roman" w:hAnsi="Times New Roman" w:cs="Times New Roman"/>
        </w:rPr>
        <w:lastRenderedPageBreak/>
        <w:t>often correlate with core corrupt activities</w:t>
      </w:r>
      <w:r w:rsidR="004E5B32">
        <w:rPr>
          <w:rFonts w:ascii="Times New Roman" w:hAnsi="Times New Roman" w:cs="Times New Roman"/>
        </w:rPr>
        <w:t>, such as</w:t>
      </w:r>
      <w:r>
        <w:rPr>
          <w:rFonts w:ascii="Times New Roman" w:hAnsi="Times New Roman" w:cs="Times New Roman"/>
        </w:rPr>
        <w:t xml:space="preserve"> bribery and extortion. In cases in which it is difficult to establish beyond a reasonable doubt certain hard-to-prove elements of the crime, such as the quid-pro-quo element of bribery,</w:t>
      </w:r>
      <w:r>
        <w:rPr>
          <w:rStyle w:val="FootnoteReference"/>
          <w:rFonts w:ascii="Times New Roman" w:hAnsi="Times New Roman"/>
        </w:rPr>
        <w:footnoteReference w:id="153"/>
      </w:r>
      <w:r>
        <w:rPr>
          <w:rFonts w:ascii="Times New Roman" w:hAnsi="Times New Roman" w:cs="Times New Roman"/>
        </w:rPr>
        <w:t xml:space="preserve"> these proxy crimes can come into play to punish individuals who engaged in suspicious behavior.</w:t>
      </w:r>
      <w:r>
        <w:rPr>
          <w:rStyle w:val="FootnoteReference"/>
          <w:rFonts w:ascii="Times New Roman" w:hAnsi="Times New Roman"/>
        </w:rPr>
        <w:footnoteReference w:id="154"/>
      </w:r>
    </w:p>
    <w:p w14:paraId="337FBDBD" w14:textId="77777777" w:rsidR="00DB23F8" w:rsidRDefault="00DB23F8" w:rsidP="00FE6791">
      <w:pPr>
        <w:bidi w:val="0"/>
        <w:ind w:firstLine="720"/>
        <w:jc w:val="both"/>
        <w:rPr>
          <w:rFonts w:ascii="Times New Roman" w:hAnsi="Times New Roman" w:cs="Times New Roman"/>
        </w:rPr>
      </w:pPr>
      <w:r>
        <w:rPr>
          <w:rFonts w:ascii="Times New Roman" w:hAnsi="Times New Roman" w:cs="Times New Roman"/>
        </w:rPr>
        <w:t>While in the open</w:t>
      </w:r>
      <w:r w:rsidR="004E5B32">
        <w:rPr>
          <w:rFonts w:ascii="Times New Roman" w:hAnsi="Times New Roman" w:cs="Times New Roman"/>
        </w:rPr>
        <w:t xml:space="preserve"> alcohol </w:t>
      </w:r>
      <w:r>
        <w:rPr>
          <w:rFonts w:ascii="Times New Roman" w:hAnsi="Times New Roman" w:cs="Times New Roman"/>
        </w:rPr>
        <w:t xml:space="preserve">container and corruption examples the connection between the proxy crime and the actual conduct </w:t>
      </w:r>
      <w:proofErr w:type="gramStart"/>
      <w:r>
        <w:rPr>
          <w:rFonts w:ascii="Times New Roman" w:hAnsi="Times New Roman" w:cs="Times New Roman"/>
        </w:rPr>
        <w:t>being punished</w:t>
      </w:r>
      <w:proofErr w:type="gramEnd"/>
      <w:r>
        <w:rPr>
          <w:rFonts w:ascii="Times New Roman" w:hAnsi="Times New Roman" w:cs="Times New Roman"/>
        </w:rPr>
        <w:t xml:space="preserve"> is direct, in other cases the connection between the underlying crime and its easy-to-prove counterpart might be more elusive. Money laundering law can serve as a case in point. The act of entering the United States with a suitcase containing $20,000 without properly reporting it can be associated with very distinct factual backgrounds. In some cases, the act is not culpable and reflects an innocent transfer of cash into the country. In other cases, the transferred money might originate from illicit activities, and thus the act itself might be culpable. The decision to criminalize the act rests on the assumption that there is a sufficiently large correlation between wrongdoing and the act. Interestingly, this assumption does not necessarily require know</w:t>
      </w:r>
      <w:r w:rsidR="00C92035">
        <w:rPr>
          <w:rFonts w:ascii="Times New Roman" w:hAnsi="Times New Roman" w:cs="Times New Roman"/>
        </w:rPr>
        <w:t>ledge</w:t>
      </w:r>
      <w:r>
        <w:rPr>
          <w:rFonts w:ascii="Times New Roman" w:hAnsi="Times New Roman" w:cs="Times New Roman"/>
        </w:rPr>
        <w:t xml:space="preserve"> of the precise illicit nature of the act. Often, we might not be able to know what the money launderer actually did—was it human trafficking, </w:t>
      </w:r>
      <w:r w:rsidR="00C92035">
        <w:rPr>
          <w:rFonts w:ascii="Times New Roman" w:hAnsi="Times New Roman" w:cs="Times New Roman"/>
        </w:rPr>
        <w:t>selling</w:t>
      </w:r>
      <w:r>
        <w:rPr>
          <w:rFonts w:ascii="Times New Roman" w:hAnsi="Times New Roman" w:cs="Times New Roman"/>
        </w:rPr>
        <w:t xml:space="preserve"> illegal drugs, or perhaps racketeering? Nonetheless, we might still believe that the money launderer deserves to </w:t>
      </w:r>
      <w:proofErr w:type="gramStart"/>
      <w:r>
        <w:rPr>
          <w:rFonts w:ascii="Times New Roman" w:hAnsi="Times New Roman" w:cs="Times New Roman"/>
        </w:rPr>
        <w:t>be punished</w:t>
      </w:r>
      <w:proofErr w:type="gramEnd"/>
      <w:r>
        <w:rPr>
          <w:rFonts w:ascii="Times New Roman" w:hAnsi="Times New Roman" w:cs="Times New Roman"/>
        </w:rPr>
        <w:t xml:space="preserve">, given the significant probability that he committed </w:t>
      </w:r>
      <w:r w:rsidRPr="00141432">
        <w:rPr>
          <w:rFonts w:ascii="Times New Roman" w:hAnsi="Times New Roman" w:cs="Times New Roman"/>
          <w:i/>
          <w:iCs/>
        </w:rPr>
        <w:t>some</w:t>
      </w:r>
      <w:r>
        <w:rPr>
          <w:rFonts w:ascii="Times New Roman" w:hAnsi="Times New Roman" w:cs="Times New Roman"/>
        </w:rPr>
        <w:t xml:space="preserve"> type of underlying crime. </w:t>
      </w:r>
    </w:p>
    <w:p w14:paraId="469EB92D" w14:textId="77777777" w:rsidR="00DB23F8" w:rsidRDefault="00DB23F8" w:rsidP="00715BC6">
      <w:pPr>
        <w:bidi w:val="0"/>
        <w:ind w:firstLine="720"/>
        <w:jc w:val="both"/>
        <w:rPr>
          <w:rFonts w:ascii="Times New Roman" w:hAnsi="Times New Roman" w:cs="Times New Roman"/>
        </w:rPr>
      </w:pPr>
      <w:r>
        <w:rPr>
          <w:rFonts w:ascii="Times New Roman" w:hAnsi="Times New Roman" w:cs="Times New Roman"/>
        </w:rPr>
        <w:t xml:space="preserve">Proxy crimes </w:t>
      </w:r>
      <w:proofErr w:type="gramStart"/>
      <w:r>
        <w:rPr>
          <w:rFonts w:ascii="Times New Roman" w:hAnsi="Times New Roman" w:cs="Times New Roman"/>
        </w:rPr>
        <w:t>are often criticized</w:t>
      </w:r>
      <w:proofErr w:type="gramEnd"/>
      <w:r>
        <w:rPr>
          <w:rFonts w:ascii="Times New Roman" w:hAnsi="Times New Roman" w:cs="Times New Roman"/>
        </w:rPr>
        <w:t xml:space="preserve"> for being “over-inclusive,”</w:t>
      </w:r>
      <w:bookmarkStart w:id="38" w:name="_Ref433314981"/>
      <w:r>
        <w:rPr>
          <w:rStyle w:val="FootnoteReference"/>
          <w:rFonts w:ascii="Times New Roman" w:hAnsi="Times New Roman"/>
        </w:rPr>
        <w:footnoteReference w:id="155"/>
      </w:r>
      <w:bookmarkEnd w:id="38"/>
      <w:r>
        <w:rPr>
          <w:rFonts w:ascii="Times New Roman" w:hAnsi="Times New Roman" w:cs="Times New Roman"/>
        </w:rPr>
        <w:t xml:space="preserve"> and “overbroad.”</w:t>
      </w:r>
      <w:r>
        <w:rPr>
          <w:rStyle w:val="FootnoteReference"/>
          <w:rFonts w:ascii="Times New Roman" w:hAnsi="Times New Roman"/>
        </w:rPr>
        <w:footnoteReference w:id="156"/>
      </w:r>
      <w:r>
        <w:rPr>
          <w:rFonts w:ascii="Times New Roman" w:hAnsi="Times New Roman" w:cs="Times New Roman"/>
        </w:rPr>
        <w:t xml:space="preserve"> Moore has even suggested that such crimes “give liberty a strong kick in the teeth right at the start.”</w:t>
      </w:r>
      <w:r>
        <w:rPr>
          <w:rStyle w:val="FootnoteReference"/>
          <w:rFonts w:ascii="Times New Roman" w:hAnsi="Times New Roman"/>
        </w:rPr>
        <w:footnoteReference w:id="157"/>
      </w:r>
      <w:r>
        <w:rPr>
          <w:rFonts w:ascii="Times New Roman" w:hAnsi="Times New Roman" w:cs="Times New Roman"/>
        </w:rPr>
        <w:t xml:space="preserve"> Consequently, calls for their reform </w:t>
      </w:r>
      <w:proofErr w:type="gramStart"/>
      <w:r>
        <w:rPr>
          <w:rFonts w:ascii="Times New Roman" w:hAnsi="Times New Roman" w:cs="Times New Roman"/>
        </w:rPr>
        <w:t>are routinely made</w:t>
      </w:r>
      <w:proofErr w:type="gramEnd"/>
      <w:r>
        <w:rPr>
          <w:rFonts w:ascii="Times New Roman" w:hAnsi="Times New Roman" w:cs="Times New Roman"/>
        </w:rPr>
        <w:t>. These calls encompass both general arguments regarding the permissible scope of proxy crimes</w:t>
      </w:r>
      <w:r>
        <w:rPr>
          <w:rStyle w:val="FootnoteReference"/>
          <w:rFonts w:ascii="Times New Roman" w:hAnsi="Times New Roman"/>
        </w:rPr>
        <w:footnoteReference w:id="158"/>
      </w:r>
      <w:r>
        <w:rPr>
          <w:rFonts w:ascii="Times New Roman" w:hAnsi="Times New Roman" w:cs="Times New Roman"/>
        </w:rPr>
        <w:t xml:space="preserve"> and concrete proposals for modifications.</w:t>
      </w:r>
      <w:r>
        <w:rPr>
          <w:rStyle w:val="FootnoteReference"/>
          <w:rFonts w:ascii="Times New Roman" w:hAnsi="Times New Roman"/>
        </w:rPr>
        <w:footnoteReference w:id="159"/>
      </w:r>
      <w:r>
        <w:rPr>
          <w:rFonts w:ascii="Times New Roman" w:hAnsi="Times New Roman" w:cs="Times New Roman"/>
        </w:rPr>
        <w:t xml:space="preserve"> For example, a committee report of the American Bar Association on corruption legislation alluded to the federal criminalization of conflict of interest as </w:t>
      </w:r>
      <w:r>
        <w:rPr>
          <w:rStyle w:val="documentbody"/>
          <w:rFonts w:ascii="Times New Roman" w:hAnsi="Times New Roman"/>
        </w:rPr>
        <w:t>“an indefensible ‘</w:t>
      </w:r>
      <w:r w:rsidR="00C92035">
        <w:rPr>
          <w:rStyle w:val="documentbody"/>
          <w:rFonts w:ascii="Times New Roman" w:hAnsi="Times New Roman"/>
        </w:rPr>
        <w:t xml:space="preserve">Sword </w:t>
      </w:r>
      <w:r>
        <w:rPr>
          <w:rStyle w:val="documentbody"/>
          <w:rFonts w:ascii="Times New Roman" w:hAnsi="Times New Roman"/>
        </w:rPr>
        <w:t>of Damocles’” and proposed to eliminate criminal sanctions from the relevant section of the U.S. Code</w:t>
      </w:r>
      <w:r w:rsidRPr="00AB2C3E">
        <w:rPr>
          <w:rFonts w:ascii="Times New Roman" w:hAnsi="Times New Roman" w:cs="Times New Roman"/>
          <w:sz w:val="20"/>
          <w:szCs w:val="20"/>
        </w:rPr>
        <w:t>.</w:t>
      </w:r>
      <w:r>
        <w:rPr>
          <w:rStyle w:val="FootnoteReference"/>
          <w:rFonts w:ascii="Times New Roman" w:hAnsi="Times New Roman"/>
        </w:rPr>
        <w:footnoteReference w:id="160"/>
      </w:r>
    </w:p>
    <w:p w14:paraId="5232DD8F" w14:textId="77777777" w:rsidR="00DB23F8" w:rsidRDefault="00DB23F8" w:rsidP="000C3EE1">
      <w:pPr>
        <w:bidi w:val="0"/>
        <w:ind w:firstLine="720"/>
        <w:jc w:val="both"/>
        <w:rPr>
          <w:rFonts w:ascii="Times New Roman" w:hAnsi="Times New Roman" w:cs="Times New Roman"/>
        </w:rPr>
      </w:pPr>
      <w:r>
        <w:rPr>
          <w:rFonts w:ascii="Times New Roman" w:hAnsi="Times New Roman" w:cs="Times New Roman"/>
        </w:rPr>
        <w:t>These proposals, however, overlook the role of proxy crimes in relaxing the burden of proof.</w:t>
      </w:r>
      <w:r>
        <w:rPr>
          <w:rStyle w:val="FootnoteReference"/>
          <w:rFonts w:ascii="Times New Roman" w:hAnsi="Times New Roman"/>
        </w:rPr>
        <w:footnoteReference w:id="161"/>
      </w:r>
      <w:r>
        <w:rPr>
          <w:rFonts w:ascii="Times New Roman" w:hAnsi="Times New Roman" w:cs="Times New Roman"/>
        </w:rPr>
        <w:t xml:space="preserve"> By enacting proxy crimes</w:t>
      </w:r>
      <w:r w:rsidR="00C92035">
        <w:rPr>
          <w:rFonts w:ascii="Times New Roman" w:hAnsi="Times New Roman" w:cs="Times New Roman"/>
        </w:rPr>
        <w:t>,</w:t>
      </w:r>
      <w:r>
        <w:rPr>
          <w:rFonts w:ascii="Times New Roman" w:hAnsi="Times New Roman" w:cs="Times New Roman"/>
        </w:rPr>
        <w:t xml:space="preserve"> the legislature </w:t>
      </w:r>
      <w:proofErr w:type="gramStart"/>
      <w:r>
        <w:rPr>
          <w:rFonts w:ascii="Times New Roman" w:hAnsi="Times New Roman" w:cs="Times New Roman"/>
        </w:rPr>
        <w:t>substitutes</w:t>
      </w:r>
      <w:proofErr w:type="gramEnd"/>
      <w:r>
        <w:rPr>
          <w:rFonts w:ascii="Times New Roman" w:hAnsi="Times New Roman" w:cs="Times New Roman"/>
        </w:rPr>
        <w:t xml:space="preserve"> hard-to-prove elements of the </w:t>
      </w:r>
      <w:r>
        <w:rPr>
          <w:rFonts w:ascii="Times New Roman" w:hAnsi="Times New Roman" w:cs="Times New Roman"/>
        </w:rPr>
        <w:lastRenderedPageBreak/>
        <w:t xml:space="preserve">crime with new elements that are easier to prove. This shift, in turn, brings about a reduction in the effective burden of proof. It allows for the punishment of more guilty defendants given the dilution of the elements of the crime, but it also entails an </w:t>
      </w:r>
      <w:r w:rsidR="00C92035">
        <w:rPr>
          <w:rFonts w:ascii="Times New Roman" w:hAnsi="Times New Roman" w:cs="Times New Roman"/>
        </w:rPr>
        <w:t xml:space="preserve">increased </w:t>
      </w:r>
      <w:r>
        <w:rPr>
          <w:rFonts w:ascii="Times New Roman" w:hAnsi="Times New Roman" w:cs="Times New Roman"/>
        </w:rPr>
        <w:t xml:space="preserve">risk of convicting people who do not deserve to </w:t>
      </w:r>
      <w:proofErr w:type="gramStart"/>
      <w:r>
        <w:rPr>
          <w:rFonts w:ascii="Times New Roman" w:hAnsi="Times New Roman" w:cs="Times New Roman"/>
        </w:rPr>
        <w:t>be punished</w:t>
      </w:r>
      <w:proofErr w:type="gramEnd"/>
      <w:r>
        <w:rPr>
          <w:rFonts w:ascii="Times New Roman" w:hAnsi="Times New Roman" w:cs="Times New Roman"/>
        </w:rPr>
        <w:t xml:space="preserve"> </w:t>
      </w:r>
      <w:r w:rsidR="00C92035">
        <w:rPr>
          <w:rFonts w:ascii="Times New Roman" w:hAnsi="Times New Roman" w:cs="Times New Roman"/>
        </w:rPr>
        <w:t xml:space="preserve">because </w:t>
      </w:r>
      <w:r>
        <w:rPr>
          <w:rFonts w:ascii="Times New Roman" w:hAnsi="Times New Roman" w:cs="Times New Roman"/>
        </w:rPr>
        <w:t>it is premised on a correlation to blameworthy behavior. Furthermore, in a dynamic setting proxy crimes can bolster the creation of a separating equilibrium between culpable and non-culpable behaviors. Gradually, once the proxy crime is enacted</w:t>
      </w:r>
      <w:r w:rsidR="00C92035">
        <w:rPr>
          <w:rFonts w:ascii="Times New Roman" w:hAnsi="Times New Roman" w:cs="Times New Roman"/>
        </w:rPr>
        <w:t>,</w:t>
      </w:r>
      <w:r>
        <w:rPr>
          <w:rFonts w:ascii="Times New Roman" w:hAnsi="Times New Roman" w:cs="Times New Roman"/>
        </w:rPr>
        <w:t xml:space="preserve"> those who drive with an open container </w:t>
      </w:r>
      <w:r w:rsidR="00C92035">
        <w:rPr>
          <w:rFonts w:ascii="Times New Roman" w:hAnsi="Times New Roman" w:cs="Times New Roman"/>
        </w:rPr>
        <w:t xml:space="preserve">of alcohol </w:t>
      </w:r>
      <w:r>
        <w:rPr>
          <w:rFonts w:ascii="Times New Roman" w:hAnsi="Times New Roman" w:cs="Times New Roman"/>
        </w:rPr>
        <w:t xml:space="preserve">or those who fail to report the transfer of large sums of cash across borders will mostly </w:t>
      </w:r>
      <w:r w:rsidR="00C92035">
        <w:rPr>
          <w:rFonts w:ascii="Times New Roman" w:hAnsi="Times New Roman" w:cs="Times New Roman"/>
        </w:rPr>
        <w:t xml:space="preserve">be </w:t>
      </w:r>
      <w:r>
        <w:rPr>
          <w:rFonts w:ascii="Times New Roman" w:hAnsi="Times New Roman" w:cs="Times New Roman"/>
        </w:rPr>
        <w:t xml:space="preserve">those who commit this act for a culpable reason. </w:t>
      </w:r>
    </w:p>
    <w:p w14:paraId="046A8FD1" w14:textId="77777777" w:rsidR="00DB23F8" w:rsidRPr="000245DD" w:rsidRDefault="00DB23F8" w:rsidP="000245DD">
      <w:pPr>
        <w:bidi w:val="0"/>
        <w:ind w:firstLine="720"/>
        <w:jc w:val="both"/>
        <w:rPr>
          <w:rFonts w:ascii="Times New Roman" w:hAnsi="Times New Roman" w:cs="Times New Roman"/>
          <w:rtl/>
        </w:rPr>
      </w:pPr>
      <w:proofErr w:type="gramStart"/>
      <w:r w:rsidRPr="000245DD">
        <w:rPr>
          <w:rFonts w:ascii="Times New Roman" w:hAnsi="Times New Roman" w:cs="Times New Roman"/>
        </w:rPr>
        <w:t>Generally speaking, proxy</w:t>
      </w:r>
      <w:proofErr w:type="gramEnd"/>
      <w:r w:rsidRPr="000245DD">
        <w:rPr>
          <w:rFonts w:ascii="Times New Roman" w:hAnsi="Times New Roman" w:cs="Times New Roman"/>
        </w:rPr>
        <w:t xml:space="preserve"> crimes entail a more moderate punishment than the crime they serve as a proxy for. In the context of drunk driving, the punishment for driving with an open container is notably lower than the crime of driving under the influence of alcohol. In Texas, for example, the former </w:t>
      </w:r>
      <w:proofErr w:type="gramStart"/>
      <w:r w:rsidRPr="000245DD">
        <w:rPr>
          <w:rFonts w:ascii="Times New Roman" w:hAnsi="Times New Roman" w:cs="Times New Roman"/>
        </w:rPr>
        <w:t>is classified</w:t>
      </w:r>
      <w:proofErr w:type="gramEnd"/>
      <w:r w:rsidRPr="000245DD">
        <w:rPr>
          <w:rFonts w:ascii="Times New Roman" w:hAnsi="Times New Roman" w:cs="Times New Roman"/>
        </w:rPr>
        <w:t xml:space="preserve"> as a class C misdemeanor,</w:t>
      </w:r>
      <w:r w:rsidRPr="000245DD">
        <w:rPr>
          <w:rStyle w:val="FootnoteReference"/>
          <w:rFonts w:ascii="Times New Roman" w:hAnsi="Times New Roman"/>
        </w:rPr>
        <w:footnoteReference w:id="162"/>
      </w:r>
      <w:r w:rsidRPr="000245DD">
        <w:rPr>
          <w:rFonts w:ascii="Times New Roman" w:hAnsi="Times New Roman" w:cs="Times New Roman"/>
        </w:rPr>
        <w:t xml:space="preserve"> whereas the latter is classified as a class B misdemeanor with a minimum term of confinement of 72 hours.</w:t>
      </w:r>
      <w:r w:rsidRPr="000245DD">
        <w:rPr>
          <w:rStyle w:val="FootnoteReference"/>
          <w:rFonts w:ascii="Times New Roman" w:hAnsi="Times New Roman"/>
        </w:rPr>
        <w:footnoteReference w:id="163"/>
      </w:r>
      <w:r w:rsidRPr="000245DD">
        <w:rPr>
          <w:rFonts w:ascii="Times New Roman" w:hAnsi="Times New Roman" w:cs="Times New Roman"/>
        </w:rPr>
        <w:t xml:space="preserve"> Similarly, in the context of corruption law, the punishment attached to bribery (a maximum sentence of 15 years),</w:t>
      </w:r>
      <w:r w:rsidRPr="000245DD">
        <w:rPr>
          <w:rStyle w:val="FootnoteReference"/>
          <w:rFonts w:ascii="Times New Roman" w:hAnsi="Times New Roman"/>
        </w:rPr>
        <w:footnoteReference w:id="164"/>
      </w:r>
      <w:r w:rsidRPr="000245DD">
        <w:rPr>
          <w:rFonts w:ascii="Times New Roman" w:hAnsi="Times New Roman" w:cs="Times New Roman"/>
        </w:rPr>
        <w:t xml:space="preserve"> is significantly longer than the sanction attached to crimes such as illegal gratuities and conflict of interest (a maximum sentence of two years and one year</w:t>
      </w:r>
      <w:r w:rsidR="00C92035">
        <w:rPr>
          <w:rFonts w:ascii="Times New Roman" w:hAnsi="Times New Roman" w:cs="Times New Roman"/>
        </w:rPr>
        <w:t>,</w:t>
      </w:r>
      <w:r w:rsidRPr="000245DD">
        <w:rPr>
          <w:rFonts w:ascii="Times New Roman" w:hAnsi="Times New Roman" w:cs="Times New Roman"/>
        </w:rPr>
        <w:t xml:space="preserve"> respectively).</w:t>
      </w:r>
      <w:r w:rsidRPr="000245DD">
        <w:rPr>
          <w:rStyle w:val="FootnoteReference"/>
          <w:rFonts w:ascii="Times New Roman" w:hAnsi="Times New Roman"/>
        </w:rPr>
        <w:footnoteReference w:id="165"/>
      </w:r>
      <w:r w:rsidRPr="000245DD">
        <w:rPr>
          <w:rFonts w:ascii="Times New Roman" w:hAnsi="Times New Roman" w:cs="Times New Roman"/>
        </w:rPr>
        <w:t xml:space="preserve"> Thus, the structure of proxy crimes </w:t>
      </w:r>
      <w:proofErr w:type="gramStart"/>
      <w:r w:rsidRPr="000245DD">
        <w:rPr>
          <w:rFonts w:ascii="Times New Roman" w:hAnsi="Times New Roman" w:cs="Times New Roman"/>
        </w:rPr>
        <w:t>is aligned</w:t>
      </w:r>
      <w:proofErr w:type="gramEnd"/>
      <w:r w:rsidRPr="000245DD">
        <w:rPr>
          <w:rFonts w:ascii="Times New Roman" w:hAnsi="Times New Roman" w:cs="Times New Roman"/>
        </w:rPr>
        <w:t xml:space="preserve"> with the evidentiary theory of criminal law. While those who committed the underlying crime itself without a reasonable doubt are </w:t>
      </w:r>
      <w:r w:rsidR="00C92035">
        <w:rPr>
          <w:rFonts w:ascii="Times New Roman" w:hAnsi="Times New Roman" w:cs="Times New Roman"/>
        </w:rPr>
        <w:t>given</w:t>
      </w:r>
      <w:r w:rsidR="00C92035" w:rsidRPr="000245DD">
        <w:rPr>
          <w:rFonts w:ascii="Times New Roman" w:hAnsi="Times New Roman" w:cs="Times New Roman"/>
        </w:rPr>
        <w:t xml:space="preserve"> </w:t>
      </w:r>
      <w:r w:rsidRPr="000245DD">
        <w:rPr>
          <w:rFonts w:ascii="Times New Roman" w:hAnsi="Times New Roman" w:cs="Times New Roman"/>
        </w:rPr>
        <w:t xml:space="preserve">the full penalty that they deserve, those whose guilt was proven to a </w:t>
      </w:r>
      <w:r w:rsidR="00C92035" w:rsidRPr="000245DD">
        <w:rPr>
          <w:rFonts w:ascii="Times New Roman" w:hAnsi="Times New Roman" w:cs="Times New Roman"/>
        </w:rPr>
        <w:t>l</w:t>
      </w:r>
      <w:r w:rsidR="00C92035">
        <w:rPr>
          <w:rFonts w:ascii="Times New Roman" w:hAnsi="Times New Roman" w:cs="Times New Roman"/>
        </w:rPr>
        <w:t xml:space="preserve">esser </w:t>
      </w:r>
      <w:r w:rsidRPr="000245DD">
        <w:rPr>
          <w:rFonts w:ascii="Times New Roman" w:hAnsi="Times New Roman" w:cs="Times New Roman"/>
        </w:rPr>
        <w:t xml:space="preserve">degree via the proxy crime are </w:t>
      </w:r>
      <w:r w:rsidR="00C92035">
        <w:rPr>
          <w:rFonts w:ascii="Times New Roman" w:hAnsi="Times New Roman" w:cs="Times New Roman"/>
        </w:rPr>
        <w:t>given</w:t>
      </w:r>
      <w:r w:rsidR="00C92035" w:rsidRPr="000245DD">
        <w:rPr>
          <w:rFonts w:ascii="Times New Roman" w:hAnsi="Times New Roman" w:cs="Times New Roman"/>
        </w:rPr>
        <w:t xml:space="preserve"> </w:t>
      </w:r>
      <w:r w:rsidRPr="000245DD">
        <w:rPr>
          <w:rFonts w:ascii="Times New Roman" w:hAnsi="Times New Roman" w:cs="Times New Roman"/>
        </w:rPr>
        <w:t xml:space="preserve">a more lenient penalty. </w:t>
      </w:r>
    </w:p>
    <w:p w14:paraId="071C08BD" w14:textId="77777777" w:rsidR="00DB23F8" w:rsidRPr="001603B2" w:rsidRDefault="00DB23F8" w:rsidP="000C3EE1">
      <w:pPr>
        <w:bidi w:val="0"/>
        <w:ind w:firstLine="720"/>
        <w:jc w:val="both"/>
        <w:rPr>
          <w:rFonts w:ascii="Times New Roman" w:hAnsi="Times New Roman" w:cs="Times New Roman"/>
        </w:rPr>
      </w:pPr>
      <w:r>
        <w:rPr>
          <w:rFonts w:ascii="Times New Roman" w:hAnsi="Times New Roman" w:cs="Times New Roman"/>
        </w:rPr>
        <w:t xml:space="preserve">A second example of evidentiary considerations influencing the definition of the objective element of the crime </w:t>
      </w:r>
      <w:proofErr w:type="gramStart"/>
      <w:r>
        <w:rPr>
          <w:rFonts w:ascii="Times New Roman" w:hAnsi="Times New Roman" w:cs="Times New Roman"/>
        </w:rPr>
        <w:t>can be found</w:t>
      </w:r>
      <w:proofErr w:type="gramEnd"/>
      <w:r>
        <w:rPr>
          <w:rFonts w:ascii="Times New Roman" w:hAnsi="Times New Roman" w:cs="Times New Roman"/>
        </w:rPr>
        <w:t xml:space="preserve"> in the realm of inchoate crimes. </w:t>
      </w:r>
      <w:r w:rsidRPr="001603B2">
        <w:rPr>
          <w:rFonts w:ascii="Times New Roman" w:hAnsi="Times New Roman" w:cs="Times New Roman"/>
        </w:rPr>
        <w:t>Most penal systems include an array of primary offenses and in conjunction with them a general inchoate crime that criminalizes attempts to commit those offenses.</w:t>
      </w:r>
      <w:bookmarkStart w:id="39" w:name="_Ref242525539"/>
      <w:r w:rsidRPr="001603B2">
        <w:rPr>
          <w:rStyle w:val="FootnoteReference"/>
          <w:rFonts w:ascii="Times New Roman" w:hAnsi="Times New Roman"/>
        </w:rPr>
        <w:footnoteReference w:id="166"/>
      </w:r>
      <w:bookmarkEnd w:id="39"/>
      <w:r w:rsidRPr="001603B2">
        <w:rPr>
          <w:rFonts w:ascii="Times New Roman" w:hAnsi="Times New Roman" w:cs="Times New Roman"/>
        </w:rPr>
        <w:t xml:space="preserve"> Attempts </w:t>
      </w:r>
      <w:proofErr w:type="gramStart"/>
      <w:r>
        <w:rPr>
          <w:rFonts w:ascii="Times New Roman" w:hAnsi="Times New Roman" w:cs="Times New Roman"/>
        </w:rPr>
        <w:t>are</w:t>
      </w:r>
      <w:r w:rsidRPr="001603B2">
        <w:rPr>
          <w:rFonts w:ascii="Times New Roman" w:hAnsi="Times New Roman" w:cs="Times New Roman"/>
        </w:rPr>
        <w:t xml:space="preserve"> divided</w:t>
      </w:r>
      <w:proofErr w:type="gramEnd"/>
      <w:r w:rsidRPr="001603B2">
        <w:rPr>
          <w:rFonts w:ascii="Times New Roman" w:hAnsi="Times New Roman" w:cs="Times New Roman"/>
        </w:rPr>
        <w:t xml:space="preserve"> into two categories: incomplete and complete.</w:t>
      </w:r>
      <w:bookmarkStart w:id="40" w:name="_Ref242017542"/>
      <w:r w:rsidRPr="001603B2">
        <w:rPr>
          <w:rStyle w:val="FootnoteReference"/>
          <w:rFonts w:ascii="Times New Roman" w:hAnsi="Times New Roman"/>
        </w:rPr>
        <w:footnoteReference w:id="167"/>
      </w:r>
      <w:bookmarkEnd w:id="40"/>
      <w:r w:rsidRPr="001603B2">
        <w:rPr>
          <w:rFonts w:ascii="Times New Roman" w:hAnsi="Times New Roman" w:cs="Times New Roman"/>
        </w:rPr>
        <w:t xml:space="preserve"> The first category—incomplete attempts—includes situations in which the transgressor failed to take all the steps that constitute </w:t>
      </w:r>
      <w:r w:rsidR="002A4B21">
        <w:rPr>
          <w:rFonts w:ascii="Times New Roman" w:hAnsi="Times New Roman" w:cs="Times New Roman"/>
        </w:rPr>
        <w:t>a</w:t>
      </w:r>
      <w:r w:rsidR="002A4B21" w:rsidRPr="001603B2">
        <w:rPr>
          <w:rFonts w:ascii="Times New Roman" w:hAnsi="Times New Roman" w:cs="Times New Roman"/>
        </w:rPr>
        <w:t xml:space="preserve"> </w:t>
      </w:r>
      <w:r w:rsidRPr="001603B2">
        <w:rPr>
          <w:rFonts w:ascii="Times New Roman" w:hAnsi="Times New Roman" w:cs="Times New Roman"/>
        </w:rPr>
        <w:t>crime.</w:t>
      </w:r>
      <w:r w:rsidRPr="001603B2">
        <w:rPr>
          <w:rStyle w:val="FootnoteReference"/>
          <w:rFonts w:ascii="Times New Roman" w:hAnsi="Times New Roman"/>
        </w:rPr>
        <w:footnoteReference w:id="168"/>
      </w:r>
      <w:r w:rsidRPr="001603B2">
        <w:rPr>
          <w:rFonts w:ascii="Times New Roman" w:hAnsi="Times New Roman" w:cs="Times New Roman"/>
        </w:rPr>
        <w:t xml:space="preserve"> Punishing incomplete </w:t>
      </w:r>
      <w:r>
        <w:rPr>
          <w:rFonts w:ascii="Times New Roman" w:hAnsi="Times New Roman" w:cs="Times New Roman"/>
        </w:rPr>
        <w:t>attempts</w:t>
      </w:r>
      <w:r w:rsidRPr="001603B2">
        <w:rPr>
          <w:rFonts w:ascii="Times New Roman" w:hAnsi="Times New Roman" w:cs="Times New Roman"/>
        </w:rPr>
        <w:t xml:space="preserve"> </w:t>
      </w:r>
      <w:r w:rsidR="00A31F9B" w:rsidRPr="001603B2">
        <w:rPr>
          <w:rFonts w:ascii="Times New Roman" w:hAnsi="Times New Roman" w:cs="Times New Roman"/>
        </w:rPr>
        <w:t>th</w:t>
      </w:r>
      <w:r w:rsidR="00A31F9B">
        <w:rPr>
          <w:rFonts w:ascii="Times New Roman" w:hAnsi="Times New Roman" w:cs="Times New Roman"/>
        </w:rPr>
        <w:t>erefore</w:t>
      </w:r>
      <w:r w:rsidR="00A31F9B" w:rsidRPr="001603B2">
        <w:rPr>
          <w:rFonts w:ascii="Times New Roman" w:hAnsi="Times New Roman" w:cs="Times New Roman"/>
        </w:rPr>
        <w:t xml:space="preserve"> </w:t>
      </w:r>
      <w:r w:rsidRPr="001603B2">
        <w:rPr>
          <w:rFonts w:ascii="Times New Roman" w:hAnsi="Times New Roman" w:cs="Times New Roman"/>
        </w:rPr>
        <w:t xml:space="preserve">requires defining the minimum behavior that qualifies as an attempt. Legal systems distinguish between acts of “preparation,” which </w:t>
      </w:r>
      <w:proofErr w:type="gramStart"/>
      <w:r w:rsidRPr="001603B2">
        <w:rPr>
          <w:rFonts w:ascii="Times New Roman" w:hAnsi="Times New Roman" w:cs="Times New Roman"/>
        </w:rPr>
        <w:t>are viewed</w:t>
      </w:r>
      <w:proofErr w:type="gramEnd"/>
      <w:r w:rsidRPr="001603B2">
        <w:rPr>
          <w:rFonts w:ascii="Times New Roman" w:hAnsi="Times New Roman" w:cs="Times New Roman"/>
        </w:rPr>
        <w:t xml:space="preserve"> as legal, and behaviors that reached a more advanced stage and thus qualify as a criminal attempt.</w:t>
      </w:r>
      <w:r w:rsidRPr="001603B2">
        <w:rPr>
          <w:rStyle w:val="FootnoteReference"/>
          <w:rFonts w:ascii="Times New Roman" w:hAnsi="Times New Roman"/>
        </w:rPr>
        <w:footnoteReference w:id="169"/>
      </w:r>
      <w:r w:rsidRPr="001603B2">
        <w:rPr>
          <w:rFonts w:ascii="Times New Roman" w:hAnsi="Times New Roman" w:cs="Times New Roman"/>
        </w:rPr>
        <w:t xml:space="preserve"> The second category—complete attempts—includes situations in which the offender committed all the acts that constitute the crime, yet his plan did not succeed. In this regard, incompletion can stem from the fact that the offender did not succeed in bringing about the consequences that </w:t>
      </w:r>
      <w:r w:rsidRPr="001603B2">
        <w:rPr>
          <w:rFonts w:ascii="Times New Roman" w:hAnsi="Times New Roman" w:cs="Times New Roman"/>
        </w:rPr>
        <w:lastRenderedPageBreak/>
        <w:t>define the crime,</w:t>
      </w:r>
      <w:r w:rsidRPr="001603B2">
        <w:rPr>
          <w:rStyle w:val="FootnoteReference"/>
          <w:rFonts w:ascii="Times New Roman" w:hAnsi="Times New Roman"/>
        </w:rPr>
        <w:footnoteReference w:id="170"/>
      </w:r>
      <w:r w:rsidRPr="001603B2">
        <w:rPr>
          <w:rFonts w:ascii="Times New Roman" w:hAnsi="Times New Roman" w:cs="Times New Roman"/>
        </w:rPr>
        <w:t xml:space="preserve"> or it can stem from the fact that one of the circumstances essential for completing the crime did not exist.</w:t>
      </w:r>
      <w:r w:rsidRPr="001603B2">
        <w:rPr>
          <w:rStyle w:val="FootnoteReference"/>
          <w:rFonts w:ascii="Times New Roman" w:hAnsi="Times New Roman"/>
        </w:rPr>
        <w:footnoteReference w:id="171"/>
      </w:r>
      <w:r w:rsidRPr="001603B2">
        <w:rPr>
          <w:rFonts w:ascii="Times New Roman" w:hAnsi="Times New Roman" w:cs="Times New Roman"/>
        </w:rPr>
        <w:t xml:space="preserve"> </w:t>
      </w:r>
    </w:p>
    <w:p w14:paraId="5987FCE5" w14:textId="1DC1D9AA" w:rsidR="00DB23F8" w:rsidRPr="001603B2" w:rsidRDefault="00DB23F8" w:rsidP="00FE6791">
      <w:pPr>
        <w:bidi w:val="0"/>
        <w:jc w:val="both"/>
        <w:rPr>
          <w:rFonts w:ascii="Times New Roman" w:hAnsi="Times New Roman" w:cs="Times New Roman"/>
          <w:rtl/>
        </w:rPr>
      </w:pPr>
      <w:r w:rsidRPr="001603B2">
        <w:rPr>
          <w:rFonts w:ascii="Times New Roman" w:hAnsi="Times New Roman" w:cs="Times New Roman"/>
        </w:rPr>
        <w:tab/>
        <w:t xml:space="preserve">Criminalizing attempts promotes </w:t>
      </w:r>
      <w:r w:rsidR="00A31F9B">
        <w:rPr>
          <w:rFonts w:ascii="Times New Roman" w:hAnsi="Times New Roman" w:cs="Times New Roman"/>
        </w:rPr>
        <w:t xml:space="preserve">the </w:t>
      </w:r>
      <w:r w:rsidRPr="001603B2">
        <w:rPr>
          <w:rFonts w:ascii="Times New Roman" w:hAnsi="Times New Roman" w:cs="Times New Roman"/>
        </w:rPr>
        <w:t>core goals of punishment</w:t>
      </w:r>
      <w:r w:rsidR="00A31F9B">
        <w:rPr>
          <w:rFonts w:ascii="Times New Roman" w:hAnsi="Times New Roman" w:cs="Times New Roman"/>
        </w:rPr>
        <w:t>,</w:t>
      </w:r>
      <w:r w:rsidRPr="001603B2">
        <w:rPr>
          <w:rFonts w:ascii="Times New Roman" w:hAnsi="Times New Roman" w:cs="Times New Roman"/>
        </w:rPr>
        <w:t xml:space="preserve"> such as retribution, deterrence</w:t>
      </w:r>
      <w:r w:rsidR="00A31F9B">
        <w:rPr>
          <w:rFonts w:ascii="Times New Roman" w:hAnsi="Times New Roman" w:cs="Times New Roman"/>
        </w:rPr>
        <w:t>,</w:t>
      </w:r>
      <w:r w:rsidRPr="001603B2">
        <w:rPr>
          <w:rFonts w:ascii="Times New Roman" w:hAnsi="Times New Roman" w:cs="Times New Roman"/>
        </w:rPr>
        <w:t xml:space="preserve"> and incapacitation</w:t>
      </w:r>
      <w:r>
        <w:rPr>
          <w:rFonts w:ascii="Times New Roman" w:hAnsi="Times New Roman" w:cs="Times New Roman"/>
        </w:rPr>
        <w:t>.</w:t>
      </w:r>
      <w:bookmarkStart w:id="42" w:name="_Ref427673960"/>
      <w:r w:rsidRPr="001603B2">
        <w:rPr>
          <w:rStyle w:val="FootnoteReference"/>
          <w:rFonts w:ascii="Times New Roman" w:hAnsi="Times New Roman"/>
        </w:rPr>
        <w:footnoteReference w:id="172"/>
      </w:r>
      <w:bookmarkEnd w:id="42"/>
      <w:r w:rsidRPr="001603B2">
        <w:rPr>
          <w:rFonts w:ascii="Times New Roman" w:hAnsi="Times New Roman" w:cs="Times New Roman"/>
        </w:rPr>
        <w:t xml:space="preserve"> </w:t>
      </w:r>
      <w:r>
        <w:rPr>
          <w:rFonts w:ascii="Times New Roman" w:hAnsi="Times New Roman" w:cs="Times New Roman"/>
        </w:rPr>
        <w:t>In addition, it enables the police to step in and interfere with the criminal plot at an early stage, rather than wait for harm to materialize.</w:t>
      </w:r>
      <w:r w:rsidRPr="001603B2">
        <w:rPr>
          <w:rStyle w:val="FootnoteReference"/>
          <w:rFonts w:ascii="Times New Roman" w:hAnsi="Times New Roman"/>
        </w:rPr>
        <w:footnoteReference w:id="173"/>
      </w:r>
      <w:r>
        <w:rPr>
          <w:rFonts w:ascii="Times New Roman" w:hAnsi="Times New Roman" w:cs="Times New Roman"/>
        </w:rPr>
        <w:t xml:space="preserve"> A</w:t>
      </w:r>
      <w:r w:rsidRPr="001603B2">
        <w:rPr>
          <w:rFonts w:ascii="Times New Roman" w:hAnsi="Times New Roman" w:cs="Times New Roman"/>
        </w:rPr>
        <w:t>t the same time</w:t>
      </w:r>
      <w:r>
        <w:rPr>
          <w:rFonts w:ascii="Times New Roman" w:hAnsi="Times New Roman" w:cs="Times New Roman"/>
        </w:rPr>
        <w:t>, however,</w:t>
      </w:r>
      <w:r w:rsidRPr="001603B2">
        <w:rPr>
          <w:rFonts w:ascii="Times New Roman" w:hAnsi="Times New Roman" w:cs="Times New Roman"/>
        </w:rPr>
        <w:t xml:space="preserve"> it also generates considerable risk of wrongful convictions when compared to complete crimes. </w:t>
      </w:r>
      <w:r>
        <w:rPr>
          <w:rFonts w:ascii="Times New Roman" w:hAnsi="Times New Roman" w:cs="Times New Roman"/>
        </w:rPr>
        <w:t>By design, c</w:t>
      </w:r>
      <w:r w:rsidRPr="001603B2">
        <w:rPr>
          <w:rFonts w:ascii="Times New Roman" w:hAnsi="Times New Roman" w:cs="Times New Roman"/>
        </w:rPr>
        <w:t>riminal attempts always involve situations in which at least one of the objective elements of the crime is absent.</w:t>
      </w:r>
      <w:r w:rsidRPr="001603B2">
        <w:rPr>
          <w:rStyle w:val="FootnoteReference"/>
          <w:rFonts w:ascii="Times New Roman" w:hAnsi="Times New Roman"/>
        </w:rPr>
        <w:footnoteReference w:id="174"/>
      </w:r>
      <w:r w:rsidRPr="001603B2">
        <w:rPr>
          <w:rFonts w:ascii="Times New Roman" w:hAnsi="Times New Roman" w:cs="Times New Roman"/>
        </w:rPr>
        <w:t xml:space="preserve"> </w:t>
      </w:r>
      <w:r>
        <w:rPr>
          <w:rFonts w:ascii="Times New Roman" w:hAnsi="Times New Roman" w:cs="Times New Roman"/>
        </w:rPr>
        <w:t>As a result,</w:t>
      </w:r>
      <w:r w:rsidRPr="001603B2">
        <w:rPr>
          <w:rFonts w:ascii="Times New Roman" w:hAnsi="Times New Roman" w:cs="Times New Roman"/>
        </w:rPr>
        <w:t xml:space="preserve"> factfinders </w:t>
      </w:r>
      <w:r>
        <w:rPr>
          <w:rFonts w:ascii="Times New Roman" w:hAnsi="Times New Roman" w:cs="Times New Roman"/>
        </w:rPr>
        <w:t xml:space="preserve">adjudicating cases involving such </w:t>
      </w:r>
      <w:r w:rsidR="00296EC3">
        <w:rPr>
          <w:rFonts w:ascii="Times New Roman" w:hAnsi="Times New Roman" w:cs="Times New Roman"/>
        </w:rPr>
        <w:t>offenses</w:t>
      </w:r>
      <w:r>
        <w:rPr>
          <w:rFonts w:ascii="Times New Roman" w:hAnsi="Times New Roman" w:cs="Times New Roman"/>
        </w:rPr>
        <w:t xml:space="preserve"> need </w:t>
      </w:r>
      <w:r w:rsidRPr="001603B2">
        <w:rPr>
          <w:rFonts w:ascii="Times New Roman" w:hAnsi="Times New Roman" w:cs="Times New Roman"/>
        </w:rPr>
        <w:t xml:space="preserve">to </w:t>
      </w:r>
      <w:r w:rsidR="00A31F9B">
        <w:rPr>
          <w:rFonts w:ascii="Times New Roman" w:hAnsi="Times New Roman" w:cs="Times New Roman"/>
        </w:rPr>
        <w:t xml:space="preserve">speculate </w:t>
      </w:r>
      <w:r w:rsidRPr="001603B2">
        <w:rPr>
          <w:rFonts w:ascii="Times New Roman" w:hAnsi="Times New Roman" w:cs="Times New Roman"/>
        </w:rPr>
        <w:t xml:space="preserve">about the missing </w:t>
      </w:r>
      <w:r>
        <w:rPr>
          <w:rFonts w:ascii="Times New Roman" w:hAnsi="Times New Roman" w:cs="Times New Roman"/>
        </w:rPr>
        <w:t xml:space="preserve">pieces in the criminal puzzle, which in turn </w:t>
      </w:r>
      <w:r w:rsidR="00A31F9B">
        <w:rPr>
          <w:rFonts w:ascii="Times New Roman" w:hAnsi="Times New Roman" w:cs="Times New Roman"/>
        </w:rPr>
        <w:t xml:space="preserve">increases </w:t>
      </w:r>
      <w:r w:rsidRPr="001603B2">
        <w:rPr>
          <w:rFonts w:ascii="Times New Roman" w:hAnsi="Times New Roman" w:cs="Times New Roman"/>
        </w:rPr>
        <w:t>the likelihood of erroneous determinations.</w:t>
      </w:r>
      <w:r w:rsidRPr="001603B2">
        <w:rPr>
          <w:rStyle w:val="FootnoteReference"/>
          <w:rFonts w:ascii="Times New Roman" w:hAnsi="Times New Roman"/>
        </w:rPr>
        <w:footnoteReference w:id="175"/>
      </w:r>
      <w:r w:rsidRPr="001603B2">
        <w:rPr>
          <w:rFonts w:ascii="Times New Roman" w:hAnsi="Times New Roman" w:cs="Times New Roman"/>
        </w:rPr>
        <w:t xml:space="preserve"> This analysis is especially true with respect to incomplete attempts in which there is uncertainty as to </w:t>
      </w:r>
      <w:r>
        <w:rPr>
          <w:rFonts w:ascii="Times New Roman" w:hAnsi="Times New Roman" w:cs="Times New Roman"/>
        </w:rPr>
        <w:t xml:space="preserve">whether </w:t>
      </w:r>
      <w:r w:rsidRPr="001603B2">
        <w:rPr>
          <w:rFonts w:ascii="Times New Roman" w:hAnsi="Times New Roman" w:cs="Times New Roman"/>
        </w:rPr>
        <w:t>the defendant</w:t>
      </w:r>
      <w:r>
        <w:rPr>
          <w:rFonts w:ascii="Times New Roman" w:hAnsi="Times New Roman" w:cs="Times New Roman"/>
        </w:rPr>
        <w:t xml:space="preserve"> is actually committing a harmful act that merits punishment</w:t>
      </w:r>
      <w:r w:rsidRPr="001603B2">
        <w:rPr>
          <w:rFonts w:ascii="Times New Roman" w:hAnsi="Times New Roman" w:cs="Times New Roman"/>
        </w:rPr>
        <w:t xml:space="preserve">. </w:t>
      </w:r>
      <w:r>
        <w:rPr>
          <w:rFonts w:ascii="Times New Roman" w:hAnsi="Times New Roman" w:cs="Times New Roman"/>
        </w:rPr>
        <w:t>Yet t</w:t>
      </w:r>
      <w:r w:rsidRPr="001603B2">
        <w:rPr>
          <w:rFonts w:ascii="Times New Roman" w:hAnsi="Times New Roman" w:cs="Times New Roman"/>
        </w:rPr>
        <w:t xml:space="preserve">his insight also holds true with respect to complete attempts, </w:t>
      </w:r>
      <w:r w:rsidR="00A31F9B">
        <w:rPr>
          <w:rFonts w:ascii="Times New Roman" w:hAnsi="Times New Roman" w:cs="Times New Roman"/>
        </w:rPr>
        <w:t xml:space="preserve">as </w:t>
      </w:r>
      <w:r w:rsidRPr="001603B2">
        <w:rPr>
          <w:rFonts w:ascii="Times New Roman" w:hAnsi="Times New Roman" w:cs="Times New Roman"/>
        </w:rPr>
        <w:t>the lack of harm might raise doubts as to the defendant’s true intentions. The commentators of the American Law Institute alluded to this aspect of criminal attempts, noting that criminalizing any act taken towards the completion of a crime “would allow prosecutions for acts that are externally equivocal and thus create a risk that innocent persons would be convicted.”</w:t>
      </w:r>
      <w:bookmarkStart w:id="43" w:name="_Ref246411458"/>
      <w:r w:rsidRPr="001603B2">
        <w:rPr>
          <w:rStyle w:val="FootnoteReference"/>
          <w:rFonts w:ascii="Times New Roman" w:hAnsi="Times New Roman"/>
        </w:rPr>
        <w:footnoteReference w:id="176"/>
      </w:r>
      <w:bookmarkEnd w:id="43"/>
    </w:p>
    <w:p w14:paraId="50FDCCE9" w14:textId="77777777" w:rsidR="00DB23F8" w:rsidRDefault="00DB23F8" w:rsidP="00FE6791">
      <w:pPr>
        <w:bidi w:val="0"/>
        <w:ind w:firstLine="720"/>
        <w:jc w:val="both"/>
        <w:rPr>
          <w:rFonts w:ascii="Times New Roman" w:hAnsi="Times New Roman" w:cs="Times New Roman"/>
        </w:rPr>
      </w:pPr>
      <w:r w:rsidRPr="001603B2">
        <w:rPr>
          <w:rFonts w:ascii="Times New Roman" w:hAnsi="Times New Roman" w:cs="Times New Roman"/>
        </w:rPr>
        <w:t xml:space="preserve">For </w:t>
      </w:r>
      <w:r w:rsidR="00A31F9B">
        <w:rPr>
          <w:rFonts w:ascii="Times New Roman" w:hAnsi="Times New Roman" w:cs="Times New Roman"/>
        </w:rPr>
        <w:t xml:space="preserve">the </w:t>
      </w:r>
      <w:r w:rsidRPr="001603B2">
        <w:rPr>
          <w:rFonts w:ascii="Times New Roman" w:hAnsi="Times New Roman" w:cs="Times New Roman"/>
        </w:rPr>
        <w:t xml:space="preserve">present purposes, the key factor of attempt law relates to the penalties assigned to incomplete crimes. </w:t>
      </w:r>
      <w:r>
        <w:rPr>
          <w:rFonts w:ascii="Times New Roman" w:hAnsi="Times New Roman" w:cs="Times New Roman"/>
        </w:rPr>
        <w:t>Many legal systems apply a reduced sanction to such crimes.</w:t>
      </w:r>
      <w:r>
        <w:rPr>
          <w:rStyle w:val="FootnoteReference"/>
          <w:rFonts w:ascii="Times New Roman" w:hAnsi="Times New Roman"/>
        </w:rPr>
        <w:footnoteReference w:id="177"/>
      </w:r>
      <w:r>
        <w:rPr>
          <w:rFonts w:ascii="Times New Roman" w:hAnsi="Times New Roman" w:cs="Times New Roman"/>
        </w:rPr>
        <w:t xml:space="preserve"> This reduction is significant and routinely reaches the level of 50%.</w:t>
      </w:r>
      <w:r w:rsidRPr="003C4812">
        <w:rPr>
          <w:rStyle w:val="FootnoteReference"/>
          <w:rFonts w:ascii="Times New Roman" w:hAnsi="Times New Roman"/>
        </w:rPr>
        <w:footnoteReference w:id="178"/>
      </w:r>
      <w:r>
        <w:rPr>
          <w:rFonts w:ascii="Times New Roman" w:hAnsi="Times New Roman" w:cs="Times New Roman"/>
        </w:rPr>
        <w:t xml:space="preserve"> At times, the attempt discount is formal and legislated into the criminal code.</w:t>
      </w:r>
      <w:r w:rsidRPr="0087516D">
        <w:rPr>
          <w:rStyle w:val="FootnoteReference"/>
          <w:rFonts w:ascii="Times New Roman" w:hAnsi="Times New Roman"/>
        </w:rPr>
        <w:footnoteReference w:id="179"/>
      </w:r>
      <w:r>
        <w:rPr>
          <w:rFonts w:ascii="Times New Roman" w:hAnsi="Times New Roman" w:cs="Times New Roman"/>
        </w:rPr>
        <w:t xml:space="preserve"> At other times, it </w:t>
      </w:r>
      <w:proofErr w:type="gramStart"/>
      <w:r>
        <w:rPr>
          <w:rFonts w:ascii="Times New Roman" w:hAnsi="Times New Roman" w:cs="Times New Roman"/>
        </w:rPr>
        <w:t>is applied</w:t>
      </w:r>
      <w:proofErr w:type="gramEnd"/>
      <w:r>
        <w:rPr>
          <w:rFonts w:ascii="Times New Roman" w:hAnsi="Times New Roman" w:cs="Times New Roman"/>
        </w:rPr>
        <w:t xml:space="preserve"> informally at sentencing </w:t>
      </w:r>
      <w:r w:rsidR="00A31F9B">
        <w:rPr>
          <w:rFonts w:ascii="Times New Roman" w:hAnsi="Times New Roman" w:cs="Times New Roman"/>
        </w:rPr>
        <w:t xml:space="preserve">based on </w:t>
      </w:r>
      <w:r>
        <w:rPr>
          <w:rFonts w:ascii="Times New Roman" w:hAnsi="Times New Roman" w:cs="Times New Roman"/>
        </w:rPr>
        <w:t>judicial discretion.</w:t>
      </w:r>
      <w:r>
        <w:rPr>
          <w:rStyle w:val="FootnoteReference"/>
          <w:rFonts w:ascii="Times New Roman" w:hAnsi="Times New Roman"/>
        </w:rPr>
        <w:footnoteReference w:id="180"/>
      </w:r>
      <w:r>
        <w:rPr>
          <w:rFonts w:ascii="Times New Roman" w:hAnsi="Times New Roman" w:cs="Times New Roman"/>
        </w:rPr>
        <w:t xml:space="preserve"> Either way, as Professor Sanford </w:t>
      </w:r>
      <w:proofErr w:type="spellStart"/>
      <w:r>
        <w:rPr>
          <w:rFonts w:ascii="Times New Roman" w:hAnsi="Times New Roman" w:cs="Times New Roman"/>
        </w:rPr>
        <w:t>Kadish</w:t>
      </w:r>
      <w:proofErr w:type="spellEnd"/>
      <w:r>
        <w:rPr>
          <w:rFonts w:ascii="Times New Roman" w:hAnsi="Times New Roman" w:cs="Times New Roman"/>
        </w:rPr>
        <w:t xml:space="preserve"> noted, the attempt discount holds “near universal acceptance in Western law, the support of many jurists and philosophers,”</w:t>
      </w:r>
      <w:r>
        <w:rPr>
          <w:rStyle w:val="FootnoteReference"/>
          <w:rFonts w:ascii="Times New Roman" w:hAnsi="Times New Roman"/>
        </w:rPr>
        <w:footnoteReference w:id="181"/>
      </w:r>
      <w:r>
        <w:rPr>
          <w:rFonts w:ascii="Times New Roman" w:hAnsi="Times New Roman" w:cs="Times New Roman"/>
        </w:rPr>
        <w:t xml:space="preserve"> and it “resonance with intuitions of lawyers and lay people alike.”</w:t>
      </w:r>
      <w:r>
        <w:rPr>
          <w:rStyle w:val="FootnoteReference"/>
          <w:rFonts w:ascii="Times New Roman" w:hAnsi="Times New Roman"/>
        </w:rPr>
        <w:footnoteReference w:id="182"/>
      </w:r>
    </w:p>
    <w:p w14:paraId="33AAD9D1" w14:textId="77777777" w:rsidR="00DB23F8" w:rsidRPr="0007740F" w:rsidRDefault="00DB23F8" w:rsidP="000C3EE1">
      <w:pPr>
        <w:bidi w:val="0"/>
        <w:ind w:firstLine="720"/>
        <w:jc w:val="both"/>
        <w:rPr>
          <w:rFonts w:ascii="Times New Roman" w:hAnsi="Times New Roman" w:cs="Times New Roman"/>
          <w:rtl/>
        </w:rPr>
      </w:pPr>
      <w:r w:rsidRPr="0007740F">
        <w:rPr>
          <w:rFonts w:ascii="Times New Roman" w:hAnsi="Times New Roman" w:cs="Times New Roman"/>
        </w:rPr>
        <w:lastRenderedPageBreak/>
        <w:t>Despite its wide acceptance, contemporary legal theorists have highlighted the tenuous normative foundation of the practice.</w:t>
      </w:r>
      <w:r w:rsidRPr="0007740F">
        <w:rPr>
          <w:rStyle w:val="FootnoteReference"/>
          <w:rFonts w:ascii="Times New Roman" w:hAnsi="Times New Roman"/>
        </w:rPr>
        <w:footnoteReference w:id="183"/>
      </w:r>
      <w:r w:rsidRPr="0007740F">
        <w:rPr>
          <w:rFonts w:ascii="Times New Roman" w:hAnsi="Times New Roman" w:cs="Times New Roman"/>
        </w:rPr>
        <w:t xml:space="preserve"> A consequentialist perspective focusing on general deterrence aims to alter criminals’ ex ante choices and therefore </w:t>
      </w:r>
      <w:r>
        <w:rPr>
          <w:rFonts w:ascii="Times New Roman" w:hAnsi="Times New Roman" w:cs="Times New Roman"/>
        </w:rPr>
        <w:t>should</w:t>
      </w:r>
      <w:r w:rsidRPr="0007740F">
        <w:rPr>
          <w:rFonts w:ascii="Times New Roman" w:hAnsi="Times New Roman" w:cs="Times New Roman"/>
        </w:rPr>
        <w:t xml:space="preserve"> not take into account ex post events that occurred after those choices </w:t>
      </w:r>
      <w:proofErr w:type="gramStart"/>
      <w:r w:rsidRPr="0007740F">
        <w:rPr>
          <w:rFonts w:ascii="Times New Roman" w:hAnsi="Times New Roman" w:cs="Times New Roman"/>
        </w:rPr>
        <w:t>were made</w:t>
      </w:r>
      <w:proofErr w:type="gramEnd"/>
      <w:r w:rsidRPr="0007740F">
        <w:rPr>
          <w:rFonts w:ascii="Times New Roman" w:hAnsi="Times New Roman" w:cs="Times New Roman"/>
        </w:rPr>
        <w:t>.</w:t>
      </w:r>
      <w:bookmarkStart w:id="45" w:name="_Ref427011855"/>
      <w:r>
        <w:rPr>
          <w:rStyle w:val="FootnoteReference"/>
          <w:rFonts w:ascii="Times New Roman" w:hAnsi="Times New Roman"/>
        </w:rPr>
        <w:footnoteReference w:id="184"/>
      </w:r>
      <w:bookmarkEnd w:id="45"/>
      <w:r w:rsidRPr="0007740F">
        <w:rPr>
          <w:rFonts w:ascii="Times New Roman" w:hAnsi="Times New Roman" w:cs="Times New Roman"/>
        </w:rPr>
        <w:t xml:space="preserve"> Similarly, modern deontological theories focus on the moral agent’s decision and discount the relevance of factors that lie beyond the control of that agent when judging her behavior.</w:t>
      </w:r>
      <w:r>
        <w:rPr>
          <w:rStyle w:val="FootnoteReference"/>
          <w:rFonts w:ascii="Times New Roman" w:hAnsi="Times New Roman"/>
        </w:rPr>
        <w:footnoteReference w:id="185"/>
      </w:r>
      <w:r w:rsidRPr="0007740F">
        <w:rPr>
          <w:rFonts w:ascii="Times New Roman" w:hAnsi="Times New Roman" w:cs="Times New Roman"/>
        </w:rPr>
        <w:t xml:space="preserve"> On this backdrop, the evidentiary argument emerged as a potential justification for the practice. According to the argument, </w:t>
      </w:r>
      <w:r>
        <w:rPr>
          <w:rFonts w:ascii="Times New Roman" w:hAnsi="Times New Roman" w:cs="Times New Roman"/>
        </w:rPr>
        <w:t xml:space="preserve">which </w:t>
      </w:r>
      <w:proofErr w:type="gramStart"/>
      <w:r>
        <w:rPr>
          <w:rFonts w:ascii="Times New Roman" w:hAnsi="Times New Roman" w:cs="Times New Roman"/>
        </w:rPr>
        <w:t>was endorsed</w:t>
      </w:r>
      <w:proofErr w:type="gramEnd"/>
      <w:r>
        <w:rPr>
          <w:rFonts w:ascii="Times New Roman" w:hAnsi="Times New Roman" w:cs="Times New Roman"/>
        </w:rPr>
        <w:t xml:space="preserve"> by </w:t>
      </w:r>
      <w:r w:rsidR="007A496C" w:rsidRPr="007A496C">
        <w:rPr>
          <w:rFonts w:ascii="Times New Roman" w:hAnsi="Times New Roman" w:cs="Times New Roman"/>
        </w:rPr>
        <w:t xml:space="preserve">both </w:t>
      </w:r>
      <w:r>
        <w:rPr>
          <w:rFonts w:ascii="Times New Roman" w:hAnsi="Times New Roman" w:cs="Times New Roman"/>
        </w:rPr>
        <w:t>consequentialist</w:t>
      </w:r>
      <w:r w:rsidR="007A496C">
        <w:rPr>
          <w:rFonts w:ascii="Times New Roman" w:hAnsi="Times New Roman" w:cs="Times New Roman"/>
        </w:rPr>
        <w:t>s</w:t>
      </w:r>
      <w:r>
        <w:rPr>
          <w:rFonts w:ascii="Times New Roman" w:hAnsi="Times New Roman" w:cs="Times New Roman"/>
        </w:rPr>
        <w:t xml:space="preserve"> and deontologists, </w:t>
      </w:r>
      <w:r w:rsidRPr="0007740F">
        <w:rPr>
          <w:rFonts w:ascii="Times New Roman" w:hAnsi="Times New Roman" w:cs="Times New Roman"/>
        </w:rPr>
        <w:t xml:space="preserve">mitigated sanctions for attempts can be defended as a way in which the legal system deals with the elevated risk </w:t>
      </w:r>
      <w:r>
        <w:rPr>
          <w:rFonts w:ascii="Times New Roman" w:hAnsi="Times New Roman" w:cs="Times New Roman"/>
        </w:rPr>
        <w:t>of error</w:t>
      </w:r>
      <w:r w:rsidRPr="0007740F">
        <w:rPr>
          <w:rFonts w:ascii="Times New Roman" w:hAnsi="Times New Roman" w:cs="Times New Roman"/>
        </w:rPr>
        <w:t>.</w:t>
      </w:r>
      <w:r>
        <w:rPr>
          <w:rStyle w:val="FootnoteReference"/>
          <w:rFonts w:ascii="Times New Roman" w:hAnsi="Times New Roman"/>
        </w:rPr>
        <w:footnoteReference w:id="186"/>
      </w:r>
      <w:r w:rsidRPr="0007740F">
        <w:rPr>
          <w:rFonts w:ascii="Times New Roman" w:hAnsi="Times New Roman" w:cs="Times New Roman"/>
        </w:rPr>
        <w:t xml:space="preserve"> As </w:t>
      </w:r>
      <w:r w:rsidR="007A496C">
        <w:rPr>
          <w:rFonts w:ascii="Times New Roman" w:hAnsi="Times New Roman" w:cs="Times New Roman"/>
        </w:rPr>
        <w:t>J</w:t>
      </w:r>
      <w:r w:rsidR="007A496C" w:rsidRPr="0007740F">
        <w:rPr>
          <w:rFonts w:ascii="Times New Roman" w:hAnsi="Times New Roman" w:cs="Times New Roman"/>
        </w:rPr>
        <w:t xml:space="preserve">udge </w:t>
      </w:r>
      <w:r>
        <w:rPr>
          <w:rFonts w:ascii="Times New Roman" w:hAnsi="Times New Roman" w:cs="Times New Roman"/>
        </w:rPr>
        <w:t xml:space="preserve">Richard </w:t>
      </w:r>
      <w:r w:rsidRPr="0007740F">
        <w:rPr>
          <w:rFonts w:ascii="Times New Roman" w:hAnsi="Times New Roman" w:cs="Times New Roman"/>
        </w:rPr>
        <w:t xml:space="preserve">Posner argues, attempts </w:t>
      </w:r>
      <w:proofErr w:type="gramStart"/>
      <w:r w:rsidRPr="0007740F">
        <w:rPr>
          <w:rFonts w:ascii="Times New Roman" w:hAnsi="Times New Roman" w:cs="Times New Roman"/>
        </w:rPr>
        <w:t>should be punished</w:t>
      </w:r>
      <w:proofErr w:type="gramEnd"/>
      <w:r w:rsidRPr="0007740F">
        <w:rPr>
          <w:rFonts w:ascii="Times New Roman" w:hAnsi="Times New Roman" w:cs="Times New Roman"/>
        </w:rPr>
        <w:t xml:space="preserve"> less severely “since there is a higher probability that an </w:t>
      </w:r>
      <w:proofErr w:type="spellStart"/>
      <w:r w:rsidRPr="0007740F">
        <w:rPr>
          <w:rFonts w:ascii="Times New Roman" w:hAnsi="Times New Roman" w:cs="Times New Roman"/>
        </w:rPr>
        <w:t>attempter</w:t>
      </w:r>
      <w:proofErr w:type="spellEnd"/>
      <w:r w:rsidRPr="0007740F">
        <w:rPr>
          <w:rFonts w:ascii="Times New Roman" w:hAnsi="Times New Roman" w:cs="Times New Roman"/>
        </w:rPr>
        <w:t xml:space="preserve"> really is harmless.”</w:t>
      </w:r>
      <w:r w:rsidRPr="0007740F">
        <w:rPr>
          <w:rStyle w:val="FootnoteReference"/>
          <w:rFonts w:ascii="Times New Roman" w:hAnsi="Times New Roman"/>
        </w:rPr>
        <w:t xml:space="preserve"> </w:t>
      </w:r>
      <w:bookmarkStart w:id="46" w:name="_Ref237940607"/>
      <w:r w:rsidRPr="0007740F">
        <w:rPr>
          <w:rStyle w:val="FootnoteReference"/>
          <w:rFonts w:ascii="Times New Roman" w:hAnsi="Times New Roman"/>
        </w:rPr>
        <w:footnoteReference w:id="187"/>
      </w:r>
      <w:bookmarkEnd w:id="46"/>
      <w:r w:rsidRPr="0007740F">
        <w:rPr>
          <w:rFonts w:ascii="Times New Roman" w:hAnsi="Times New Roman" w:cs="Times New Roman"/>
        </w:rPr>
        <w:t xml:space="preserve"> </w:t>
      </w:r>
      <w:r>
        <w:rPr>
          <w:rFonts w:ascii="Times New Roman" w:hAnsi="Times New Roman" w:cs="Times New Roman"/>
        </w:rPr>
        <w:t>Thus, it would seem like the penal policies surrounding criminal attempt</w:t>
      </w:r>
      <w:r w:rsidR="007A496C">
        <w:rPr>
          <w:rFonts w:ascii="Times New Roman" w:hAnsi="Times New Roman" w:cs="Times New Roman"/>
        </w:rPr>
        <w:t>s</w:t>
      </w:r>
      <w:r>
        <w:rPr>
          <w:rFonts w:ascii="Times New Roman" w:hAnsi="Times New Roman" w:cs="Times New Roman"/>
        </w:rPr>
        <w:t xml:space="preserve"> </w:t>
      </w:r>
      <w:proofErr w:type="gramStart"/>
      <w:r>
        <w:rPr>
          <w:rFonts w:ascii="Times New Roman" w:hAnsi="Times New Roman" w:cs="Times New Roman"/>
        </w:rPr>
        <w:t>are geared</w:t>
      </w:r>
      <w:proofErr w:type="gramEnd"/>
      <w:r>
        <w:rPr>
          <w:rFonts w:ascii="Times New Roman" w:hAnsi="Times New Roman" w:cs="Times New Roman"/>
        </w:rPr>
        <w:t xml:space="preserve"> towards grading penalties in proportion to the strength of the evidence.</w:t>
      </w:r>
    </w:p>
    <w:p w14:paraId="3C72F23B" w14:textId="2BB8DD22" w:rsidR="00DB23F8" w:rsidRDefault="00DB23F8" w:rsidP="00361244">
      <w:pPr>
        <w:bidi w:val="0"/>
        <w:ind w:firstLine="720"/>
        <w:jc w:val="both"/>
        <w:rPr>
          <w:rFonts w:ascii="Times New Roman" w:hAnsi="Times New Roman" w:cs="Times New Roman"/>
        </w:rPr>
      </w:pPr>
      <w:r>
        <w:rPr>
          <w:rFonts w:ascii="Times New Roman" w:hAnsi="Times New Roman" w:cs="Times New Roman"/>
        </w:rPr>
        <w:t xml:space="preserve">Interestingly, however, while legal scholars </w:t>
      </w:r>
      <w:r w:rsidR="007A496C">
        <w:rPr>
          <w:rFonts w:ascii="Times New Roman" w:hAnsi="Times New Roman" w:cs="Times New Roman"/>
        </w:rPr>
        <w:t xml:space="preserve">have </w:t>
      </w:r>
      <w:r>
        <w:rPr>
          <w:rFonts w:ascii="Times New Roman" w:hAnsi="Times New Roman" w:cs="Times New Roman"/>
        </w:rPr>
        <w:t xml:space="preserve">dedicated a significant amount of attention to the punishment of attempts, they have dedicated far less attention to a potentially far greater question—the punishment of preparatory acts that lie clearly outside the scope of criminal attempts. </w:t>
      </w:r>
      <w:r w:rsidRPr="001603B2">
        <w:rPr>
          <w:rFonts w:ascii="Times New Roman" w:hAnsi="Times New Roman" w:cs="Times New Roman"/>
        </w:rPr>
        <w:t>In addition to the general doctrine of attempt, legal systems also criminalize preparatory acts as independent crimes.</w:t>
      </w:r>
      <w:bookmarkStart w:id="47" w:name="_Ref433364026"/>
      <w:r>
        <w:rPr>
          <w:rStyle w:val="FootnoteReference"/>
          <w:rFonts w:ascii="Times New Roman" w:hAnsi="Times New Roman"/>
        </w:rPr>
        <w:footnoteReference w:id="188"/>
      </w:r>
      <w:bookmarkEnd w:id="47"/>
      <w:r w:rsidRPr="001603B2">
        <w:rPr>
          <w:rFonts w:ascii="Times New Roman" w:hAnsi="Times New Roman" w:cs="Times New Roman"/>
        </w:rPr>
        <w:t xml:space="preserve"> </w:t>
      </w:r>
      <w:r>
        <w:rPr>
          <w:rFonts w:ascii="Times New Roman" w:hAnsi="Times New Roman" w:cs="Times New Roman"/>
        </w:rPr>
        <w:t xml:space="preserve">These crimes are to some extent a close cousin of proxy crimes just discussed. While proxy crimes identify behaviors that correlate with </w:t>
      </w:r>
      <w:r w:rsidR="00296EC3">
        <w:rPr>
          <w:rFonts w:ascii="Times New Roman" w:hAnsi="Times New Roman" w:cs="Times New Roman"/>
        </w:rPr>
        <w:t>offenses</w:t>
      </w:r>
      <w:r>
        <w:rPr>
          <w:rFonts w:ascii="Times New Roman" w:hAnsi="Times New Roman" w:cs="Times New Roman"/>
        </w:rPr>
        <w:t xml:space="preserve"> that were likely to have been committed, preparatory crimes identify behaviors that correlate with </w:t>
      </w:r>
      <w:r w:rsidR="00296EC3">
        <w:rPr>
          <w:rFonts w:ascii="Times New Roman" w:hAnsi="Times New Roman" w:cs="Times New Roman"/>
        </w:rPr>
        <w:t>offenses</w:t>
      </w:r>
      <w:r>
        <w:rPr>
          <w:rFonts w:ascii="Times New Roman" w:hAnsi="Times New Roman" w:cs="Times New Roman"/>
        </w:rPr>
        <w:t xml:space="preserve"> that are likely to be committed.</w:t>
      </w:r>
      <w:r>
        <w:rPr>
          <w:rStyle w:val="FootnoteReference"/>
          <w:rFonts w:ascii="Times New Roman" w:hAnsi="Times New Roman"/>
        </w:rPr>
        <w:footnoteReference w:id="189"/>
      </w:r>
      <w:r>
        <w:rPr>
          <w:rFonts w:ascii="Times New Roman" w:hAnsi="Times New Roman" w:cs="Times New Roman"/>
        </w:rPr>
        <w:t xml:space="preserve"> </w:t>
      </w:r>
    </w:p>
    <w:p w14:paraId="20C389F7" w14:textId="4B8EC716" w:rsidR="00DB23F8" w:rsidRDefault="00DB23F8" w:rsidP="00D9696B">
      <w:pPr>
        <w:bidi w:val="0"/>
        <w:ind w:firstLine="720"/>
        <w:jc w:val="both"/>
        <w:rPr>
          <w:rFonts w:ascii="Times New Roman" w:hAnsi="Times New Roman" w:cs="Times New Roman"/>
        </w:rPr>
      </w:pPr>
      <w:r w:rsidRPr="001603B2">
        <w:rPr>
          <w:rFonts w:ascii="Times New Roman" w:hAnsi="Times New Roman" w:cs="Times New Roman"/>
        </w:rPr>
        <w:t xml:space="preserve">By enacting </w:t>
      </w:r>
      <w:r>
        <w:rPr>
          <w:rFonts w:ascii="Times New Roman" w:hAnsi="Times New Roman" w:cs="Times New Roman"/>
        </w:rPr>
        <w:t xml:space="preserve">preparatory </w:t>
      </w:r>
      <w:r w:rsidRPr="001603B2">
        <w:rPr>
          <w:rFonts w:ascii="Times New Roman" w:hAnsi="Times New Roman" w:cs="Times New Roman"/>
        </w:rPr>
        <w:t>crimes, legislature</w:t>
      </w:r>
      <w:r>
        <w:rPr>
          <w:rFonts w:ascii="Times New Roman" w:hAnsi="Times New Roman" w:cs="Times New Roman"/>
        </w:rPr>
        <w:t>s</w:t>
      </w:r>
      <w:r w:rsidRPr="001603B2">
        <w:rPr>
          <w:rFonts w:ascii="Times New Roman" w:hAnsi="Times New Roman" w:cs="Times New Roman"/>
        </w:rPr>
        <w:t xml:space="preserve"> </w:t>
      </w:r>
      <w:r>
        <w:rPr>
          <w:rFonts w:ascii="Times New Roman" w:hAnsi="Times New Roman" w:cs="Times New Roman"/>
        </w:rPr>
        <w:t>significantly widen the domain of criminal liability and extend it beyond the attempt/preparation border</w:t>
      </w:r>
      <w:r w:rsidRPr="001603B2">
        <w:rPr>
          <w:rFonts w:ascii="Times New Roman" w:hAnsi="Times New Roman" w:cs="Times New Roman"/>
        </w:rPr>
        <w:t>.</w:t>
      </w:r>
      <w:r>
        <w:rPr>
          <w:rFonts w:ascii="Times New Roman" w:hAnsi="Times New Roman" w:cs="Times New Roman"/>
        </w:rPr>
        <w:t xml:space="preserve"> Often</w:t>
      </w:r>
      <w:r w:rsidR="007A496C">
        <w:rPr>
          <w:rFonts w:ascii="Times New Roman" w:hAnsi="Times New Roman" w:cs="Times New Roman"/>
        </w:rPr>
        <w:t>,</w:t>
      </w:r>
      <w:r>
        <w:rPr>
          <w:rFonts w:ascii="Times New Roman" w:hAnsi="Times New Roman" w:cs="Times New Roman"/>
        </w:rPr>
        <w:t xml:space="preserve"> these offenses criminalize the possession of things that are likely to </w:t>
      </w:r>
      <w:proofErr w:type="gramStart"/>
      <w:r>
        <w:rPr>
          <w:rFonts w:ascii="Times New Roman" w:hAnsi="Times New Roman" w:cs="Times New Roman"/>
        </w:rPr>
        <w:t>be used</w:t>
      </w:r>
      <w:proofErr w:type="gramEnd"/>
      <w:r>
        <w:rPr>
          <w:rFonts w:ascii="Times New Roman" w:hAnsi="Times New Roman" w:cs="Times New Roman"/>
        </w:rPr>
        <w:t xml:space="preserve"> in crimes. </w:t>
      </w:r>
      <w:r w:rsidRPr="001603B2">
        <w:rPr>
          <w:rFonts w:ascii="Times New Roman" w:hAnsi="Times New Roman" w:cs="Times New Roman"/>
        </w:rPr>
        <w:t xml:space="preserve">For example, the possession of </w:t>
      </w:r>
      <w:r w:rsidRPr="0008441C">
        <w:rPr>
          <w:rFonts w:ascii="Times New Roman" w:hAnsi="Times New Roman" w:cs="Times New Roman"/>
        </w:rPr>
        <w:t>burglary tools, explosives</w:t>
      </w:r>
      <w:r w:rsidR="007A496C">
        <w:rPr>
          <w:rFonts w:ascii="Times New Roman" w:hAnsi="Times New Roman" w:cs="Times New Roman"/>
        </w:rPr>
        <w:t>,</w:t>
      </w:r>
      <w:r w:rsidRPr="001603B2">
        <w:rPr>
          <w:rFonts w:ascii="Times New Roman" w:hAnsi="Times New Roman" w:cs="Times New Roman"/>
        </w:rPr>
        <w:t xml:space="preserve"> </w:t>
      </w:r>
      <w:r>
        <w:rPr>
          <w:rFonts w:ascii="Times New Roman" w:hAnsi="Times New Roman" w:cs="Times New Roman"/>
        </w:rPr>
        <w:t xml:space="preserve">and </w:t>
      </w:r>
      <w:r w:rsidRPr="0055675B">
        <w:rPr>
          <w:rFonts w:ascii="Times New Roman" w:hAnsi="Times New Roman" w:cs="Times New Roman"/>
        </w:rPr>
        <w:t xml:space="preserve">incendiary devices </w:t>
      </w:r>
      <w:r w:rsidRPr="00487F34">
        <w:rPr>
          <w:rFonts w:ascii="Times New Roman" w:hAnsi="Times New Roman" w:cs="Times New Roman"/>
        </w:rPr>
        <w:t>constitutes the objective element of a crime in numerous jurisdictions.</w:t>
      </w:r>
      <w:r w:rsidRPr="00487F34">
        <w:rPr>
          <w:rStyle w:val="FootnoteReference"/>
          <w:rFonts w:ascii="Times New Roman" w:hAnsi="Times New Roman"/>
        </w:rPr>
        <w:footnoteReference w:id="190"/>
      </w:r>
      <w:r w:rsidRPr="00487F34">
        <w:rPr>
          <w:rFonts w:ascii="Times New Roman" w:hAnsi="Times New Roman" w:cs="Times New Roman"/>
        </w:rPr>
        <w:t xml:space="preserve"> In other cases,</w:t>
      </w:r>
      <w:r>
        <w:rPr>
          <w:rFonts w:ascii="Times New Roman" w:hAnsi="Times New Roman" w:cs="Times New Roman"/>
        </w:rPr>
        <w:t xml:space="preserve"> these </w:t>
      </w:r>
      <w:r w:rsidR="00296EC3">
        <w:rPr>
          <w:rFonts w:ascii="Times New Roman" w:hAnsi="Times New Roman" w:cs="Times New Roman"/>
        </w:rPr>
        <w:t>offenses</w:t>
      </w:r>
      <w:r>
        <w:rPr>
          <w:rFonts w:ascii="Times New Roman" w:hAnsi="Times New Roman" w:cs="Times New Roman"/>
        </w:rPr>
        <w:t xml:space="preserve"> rest on assumptions relating to the criminality that </w:t>
      </w:r>
      <w:proofErr w:type="gramStart"/>
      <w:r>
        <w:rPr>
          <w:rFonts w:ascii="Times New Roman" w:hAnsi="Times New Roman" w:cs="Times New Roman"/>
        </w:rPr>
        <w:t>can be deduced</w:t>
      </w:r>
      <w:proofErr w:type="gramEnd"/>
      <w:r>
        <w:rPr>
          <w:rFonts w:ascii="Times New Roman" w:hAnsi="Times New Roman" w:cs="Times New Roman"/>
        </w:rPr>
        <w:t xml:space="preserve"> from being in a certain place. Criminal trespass, for instance, is geared (among other things) to capture acts that are the early stage of a burglary.</w:t>
      </w:r>
      <w:r>
        <w:rPr>
          <w:rStyle w:val="FootnoteReference"/>
          <w:rFonts w:ascii="Times New Roman" w:hAnsi="Times New Roman"/>
        </w:rPr>
        <w:footnoteReference w:id="191"/>
      </w:r>
      <w:r>
        <w:rPr>
          <w:rFonts w:ascii="Times New Roman" w:hAnsi="Times New Roman" w:cs="Times New Roman"/>
        </w:rPr>
        <w:t xml:space="preserve"> </w:t>
      </w:r>
    </w:p>
    <w:p w14:paraId="08909BFB" w14:textId="0B4B2485" w:rsidR="00DB23F8" w:rsidRDefault="00DB23F8" w:rsidP="00EC5269">
      <w:pPr>
        <w:bidi w:val="0"/>
        <w:ind w:firstLine="720"/>
        <w:jc w:val="both"/>
        <w:rPr>
          <w:rFonts w:ascii="Times New Roman" w:hAnsi="Times New Roman" w:cs="Times New Roman"/>
        </w:rPr>
      </w:pPr>
      <w:r>
        <w:rPr>
          <w:rFonts w:ascii="Times New Roman" w:hAnsi="Times New Roman" w:cs="Times New Roman"/>
        </w:rPr>
        <w:lastRenderedPageBreak/>
        <w:t xml:space="preserve">Furthermore, while in order to secure an attempt conviction the prosecution needs to prove a </w:t>
      </w:r>
      <w:r w:rsidRPr="00417379">
        <w:rPr>
          <w:rFonts w:ascii="Times New Roman" w:hAnsi="Times New Roman" w:cs="Times New Roman"/>
          <w:i/>
          <w:iCs/>
        </w:rPr>
        <w:t>concrete</w:t>
      </w:r>
      <w:r>
        <w:rPr>
          <w:rFonts w:ascii="Times New Roman" w:hAnsi="Times New Roman" w:cs="Times New Roman"/>
        </w:rPr>
        <w:t xml:space="preserve"> criminal plot,</w:t>
      </w:r>
      <w:r>
        <w:rPr>
          <w:rStyle w:val="FootnoteReference"/>
          <w:rFonts w:ascii="Times New Roman" w:hAnsi="Times New Roman"/>
        </w:rPr>
        <w:footnoteReference w:id="192"/>
      </w:r>
      <w:r>
        <w:rPr>
          <w:rFonts w:ascii="Times New Roman" w:hAnsi="Times New Roman" w:cs="Times New Roman"/>
        </w:rPr>
        <w:t xml:space="preserve"> preparatory </w:t>
      </w:r>
      <w:r w:rsidR="00296EC3">
        <w:rPr>
          <w:rFonts w:ascii="Times New Roman" w:hAnsi="Times New Roman" w:cs="Times New Roman"/>
        </w:rPr>
        <w:t>offenses</w:t>
      </w:r>
      <w:r w:rsidRPr="001603B2">
        <w:rPr>
          <w:rFonts w:ascii="Times New Roman" w:hAnsi="Times New Roman" w:cs="Times New Roman"/>
        </w:rPr>
        <w:t xml:space="preserve"> usually require that the prosecution only show that the defendant intended to commit </w:t>
      </w:r>
      <w:r w:rsidRPr="001603B2">
        <w:rPr>
          <w:rFonts w:ascii="Times New Roman" w:hAnsi="Times New Roman" w:cs="Times New Roman"/>
          <w:i/>
          <w:iCs/>
        </w:rPr>
        <w:t>a</w:t>
      </w:r>
      <w:r w:rsidRPr="001603B2">
        <w:rPr>
          <w:rFonts w:ascii="Times New Roman" w:hAnsi="Times New Roman" w:cs="Times New Roman"/>
        </w:rPr>
        <w:t xml:space="preserve"> crime</w:t>
      </w:r>
      <w:r>
        <w:rPr>
          <w:rFonts w:ascii="Times New Roman" w:hAnsi="Times New Roman" w:cs="Times New Roman"/>
        </w:rPr>
        <w:t>.</w:t>
      </w:r>
      <w:r>
        <w:rPr>
          <w:rStyle w:val="FootnoteReference"/>
          <w:rFonts w:ascii="Times New Roman" w:hAnsi="Times New Roman"/>
        </w:rPr>
        <w:footnoteReference w:id="193"/>
      </w:r>
      <w:r>
        <w:rPr>
          <w:rFonts w:ascii="Times New Roman" w:hAnsi="Times New Roman" w:cs="Times New Roman"/>
        </w:rPr>
        <w:t xml:space="preserve"> On one hand, this relaxed standard enables the law to capture suspect behaviors without the need to fill in all the missing pieces of the criminal puzzle, </w:t>
      </w:r>
      <w:r w:rsidR="007A496C">
        <w:rPr>
          <w:rFonts w:ascii="Times New Roman" w:hAnsi="Times New Roman" w:cs="Times New Roman"/>
        </w:rPr>
        <w:t>as</w:t>
      </w:r>
      <w:r>
        <w:rPr>
          <w:rFonts w:ascii="Times New Roman" w:hAnsi="Times New Roman" w:cs="Times New Roman"/>
        </w:rPr>
        <w:t xml:space="preserve"> in attempt cases. On the other hand, it rules out criminal liability in cases involving purely innocent behavior and thus eliminates the possibility of knowingly punishing the innocent. Walking around with a crowbar is a crime only in situations that trigger the suspicion of the trier of fact that culpable behavior is in play.</w:t>
      </w:r>
      <w:r>
        <w:rPr>
          <w:rStyle w:val="FootnoteReference"/>
          <w:rFonts w:ascii="Times New Roman" w:hAnsi="Times New Roman"/>
        </w:rPr>
        <w:footnoteReference w:id="194"/>
      </w:r>
    </w:p>
    <w:p w14:paraId="2EBC9818" w14:textId="2A606BBD" w:rsidR="00DB23F8" w:rsidRDefault="00DB23F8" w:rsidP="000626BB">
      <w:pPr>
        <w:bidi w:val="0"/>
        <w:ind w:firstLine="720"/>
        <w:jc w:val="both"/>
        <w:rPr>
          <w:rFonts w:ascii="Times New Roman" w:hAnsi="Times New Roman" w:cs="Times New Roman"/>
        </w:rPr>
      </w:pPr>
      <w:r>
        <w:rPr>
          <w:rFonts w:ascii="Times New Roman" w:hAnsi="Times New Roman" w:cs="Times New Roman"/>
        </w:rPr>
        <w:t xml:space="preserve">Legal scholarship has often viewed preparatory crimes critically and has suggested that they might contribute to the phenomenon of </w:t>
      </w:r>
      <w:proofErr w:type="spellStart"/>
      <w:r>
        <w:rPr>
          <w:rFonts w:ascii="Times New Roman" w:hAnsi="Times New Roman" w:cs="Times New Roman"/>
        </w:rPr>
        <w:t>overcriminalization</w:t>
      </w:r>
      <w:proofErr w:type="spellEnd"/>
      <w:r>
        <w:rPr>
          <w:rFonts w:ascii="Times New Roman" w:hAnsi="Times New Roman" w:cs="Times New Roman"/>
        </w:rPr>
        <w:t>.</w:t>
      </w:r>
      <w:bookmarkStart w:id="48" w:name="_Ref440928778"/>
      <w:r>
        <w:rPr>
          <w:rStyle w:val="FootnoteReference"/>
          <w:rFonts w:ascii="Times New Roman" w:hAnsi="Times New Roman"/>
        </w:rPr>
        <w:footnoteReference w:id="195"/>
      </w:r>
      <w:bookmarkEnd w:id="48"/>
      <w:r>
        <w:rPr>
          <w:rFonts w:ascii="Times New Roman" w:hAnsi="Times New Roman" w:cs="Times New Roman"/>
        </w:rPr>
        <w:t xml:space="preserve"> </w:t>
      </w:r>
      <w:r w:rsidR="007A2238">
        <w:rPr>
          <w:rFonts w:ascii="Times New Roman" w:hAnsi="Times New Roman" w:cs="Times New Roman"/>
        </w:rPr>
        <w:t>F</w:t>
      </w:r>
      <w:r>
        <w:rPr>
          <w:rFonts w:ascii="Times New Roman" w:hAnsi="Times New Roman" w:cs="Times New Roman"/>
        </w:rPr>
        <w:t xml:space="preserve">or example, </w:t>
      </w:r>
      <w:r w:rsidR="007A2238">
        <w:rPr>
          <w:rFonts w:ascii="Times New Roman" w:hAnsi="Times New Roman" w:cs="Times New Roman"/>
        </w:rPr>
        <w:t xml:space="preserve">take </w:t>
      </w:r>
      <w:r>
        <w:rPr>
          <w:rFonts w:ascii="Times New Roman" w:hAnsi="Times New Roman" w:cs="Times New Roman"/>
        </w:rPr>
        <w:t>the case of possession of burglary tools. According to Professor Kessler Ferzan</w:t>
      </w:r>
      <w:r w:rsidR="007A2238">
        <w:rPr>
          <w:rFonts w:ascii="Times New Roman" w:hAnsi="Times New Roman" w:cs="Times New Roman"/>
        </w:rPr>
        <w:t>,</w:t>
      </w:r>
      <w:r>
        <w:rPr>
          <w:rFonts w:ascii="Times New Roman" w:hAnsi="Times New Roman" w:cs="Times New Roman"/>
        </w:rPr>
        <w:t xml:space="preserve"> when the state criminalizes </w:t>
      </w:r>
      <w:r w:rsidR="007A2238">
        <w:rPr>
          <w:rFonts w:ascii="Times New Roman" w:hAnsi="Times New Roman" w:cs="Times New Roman"/>
        </w:rPr>
        <w:t xml:space="preserve">the </w:t>
      </w:r>
      <w:r>
        <w:rPr>
          <w:rFonts w:ascii="Times New Roman" w:hAnsi="Times New Roman" w:cs="Times New Roman"/>
        </w:rPr>
        <w:t>possession of burglary tools it in effect tells the defendant, “</w:t>
      </w:r>
      <w:r w:rsidRPr="00376E14">
        <w:rPr>
          <w:rFonts w:ascii="Times New Roman" w:hAnsi="Times New Roman" w:cs="Times New Roman"/>
        </w:rPr>
        <w:t>[w]e don’t trust you with crowbars because of what you might choose to do later.</w:t>
      </w:r>
      <w:r>
        <w:rPr>
          <w:rFonts w:ascii="Times New Roman" w:hAnsi="Times New Roman" w:cs="Times New Roman"/>
        </w:rPr>
        <w:t>”</w:t>
      </w:r>
      <w:bookmarkStart w:id="49" w:name="_Ref440928812"/>
      <w:r>
        <w:rPr>
          <w:rStyle w:val="FootnoteReference"/>
          <w:rFonts w:ascii="Times New Roman" w:hAnsi="Times New Roman"/>
        </w:rPr>
        <w:footnoteReference w:id="196"/>
      </w:r>
      <w:bookmarkEnd w:id="49"/>
      <w:r>
        <w:rPr>
          <w:rFonts w:ascii="Times New Roman" w:hAnsi="Times New Roman" w:cs="Times New Roman"/>
        </w:rPr>
        <w:t xml:space="preserve"> Given this interpretation of the </w:t>
      </w:r>
      <w:r w:rsidR="00296EC3">
        <w:rPr>
          <w:rFonts w:ascii="Times New Roman" w:hAnsi="Times New Roman" w:cs="Times New Roman"/>
        </w:rPr>
        <w:t>offense</w:t>
      </w:r>
      <w:r>
        <w:rPr>
          <w:rFonts w:ascii="Times New Roman" w:hAnsi="Times New Roman" w:cs="Times New Roman"/>
        </w:rPr>
        <w:t xml:space="preserve">, Kessler Ferzan views such an </w:t>
      </w:r>
      <w:r w:rsidR="00296EC3">
        <w:rPr>
          <w:rFonts w:ascii="Times New Roman" w:hAnsi="Times New Roman" w:cs="Times New Roman"/>
        </w:rPr>
        <w:t>offense</w:t>
      </w:r>
      <w:r>
        <w:rPr>
          <w:rFonts w:ascii="Times New Roman" w:hAnsi="Times New Roman" w:cs="Times New Roman"/>
        </w:rPr>
        <w:t xml:space="preserve"> as one that does not respect autonomy and individual choice.</w:t>
      </w:r>
      <w:r>
        <w:rPr>
          <w:rStyle w:val="FootnoteReference"/>
          <w:rFonts w:ascii="Times New Roman" w:hAnsi="Times New Roman"/>
        </w:rPr>
        <w:footnoteReference w:id="197"/>
      </w:r>
      <w:r>
        <w:rPr>
          <w:rFonts w:ascii="Times New Roman" w:hAnsi="Times New Roman" w:cs="Times New Roman"/>
        </w:rPr>
        <w:t xml:space="preserve"> </w:t>
      </w:r>
    </w:p>
    <w:p w14:paraId="14239522" w14:textId="5C4DA1D4" w:rsidR="00DB23F8" w:rsidRDefault="00DB23F8" w:rsidP="004E4743">
      <w:pPr>
        <w:bidi w:val="0"/>
        <w:ind w:firstLine="720"/>
        <w:jc w:val="both"/>
        <w:rPr>
          <w:rFonts w:ascii="Times New Roman" w:hAnsi="Times New Roman" w:cs="Times New Roman"/>
        </w:rPr>
      </w:pPr>
      <w:r>
        <w:rPr>
          <w:rFonts w:ascii="Times New Roman" w:hAnsi="Times New Roman" w:cs="Times New Roman"/>
        </w:rPr>
        <w:t>This analysis, however, overlooks the evidentiary function of preparatory crimes. Within this framework</w:t>
      </w:r>
      <w:r w:rsidR="007A2238">
        <w:rPr>
          <w:rFonts w:ascii="Times New Roman" w:hAnsi="Times New Roman" w:cs="Times New Roman"/>
        </w:rPr>
        <w:t>,</w:t>
      </w:r>
      <w:r>
        <w:rPr>
          <w:rFonts w:ascii="Times New Roman" w:hAnsi="Times New Roman" w:cs="Times New Roman"/>
        </w:rPr>
        <w:t xml:space="preserve"> preparatory crimes target behaviors that generate significant uncertainty as to the nature of the act. Viewed from this perspective, the message conveyed by an </w:t>
      </w:r>
      <w:r w:rsidR="00296EC3">
        <w:rPr>
          <w:rFonts w:ascii="Times New Roman" w:hAnsi="Times New Roman" w:cs="Times New Roman"/>
        </w:rPr>
        <w:t>offense</w:t>
      </w:r>
      <w:r>
        <w:rPr>
          <w:rFonts w:ascii="Times New Roman" w:hAnsi="Times New Roman" w:cs="Times New Roman"/>
        </w:rPr>
        <w:t xml:space="preserve"> like possession of burglary tools should be read as saying, “we order you not to walk around at 3:00AM in a distant neighborhood with crowbars since it will be very costly to distinguish you from criminals.” This law respects individual autonomy, yet asks people to refrain from a suspicious behavior that inflicts a true harm on society in the shape of evidentiary uncertainty. Those who choose to ignore this limitation set by the law deserve to </w:t>
      </w:r>
      <w:proofErr w:type="gramStart"/>
      <w:r>
        <w:rPr>
          <w:rFonts w:ascii="Times New Roman" w:hAnsi="Times New Roman" w:cs="Times New Roman"/>
        </w:rPr>
        <w:t>be punished</w:t>
      </w:r>
      <w:proofErr w:type="gramEnd"/>
      <w:r>
        <w:rPr>
          <w:rFonts w:ascii="Times New Roman" w:hAnsi="Times New Roman" w:cs="Times New Roman"/>
        </w:rPr>
        <w:t>.</w:t>
      </w:r>
    </w:p>
    <w:p w14:paraId="341CE69C" w14:textId="0C5A662B" w:rsidR="00DB23F8" w:rsidRPr="004E4743" w:rsidRDefault="00DB23F8" w:rsidP="004E4743">
      <w:pPr>
        <w:bidi w:val="0"/>
        <w:ind w:firstLine="720"/>
        <w:jc w:val="both"/>
        <w:rPr>
          <w:rFonts w:ascii="Times New Roman" w:hAnsi="Times New Roman" w:cs="Times New Roman"/>
        </w:rPr>
      </w:pPr>
      <w:r>
        <w:rPr>
          <w:rFonts w:ascii="Times New Roman" w:hAnsi="Times New Roman" w:cs="Times New Roman"/>
        </w:rPr>
        <w:t xml:space="preserve">The wider domain of preparatory crimes helps achieve all the goals associated with criminalizing attempts, yet it does so at the cost of </w:t>
      </w:r>
      <w:r w:rsidR="003C2766">
        <w:rPr>
          <w:rFonts w:ascii="Times New Roman" w:hAnsi="Times New Roman" w:cs="Times New Roman"/>
        </w:rPr>
        <w:t xml:space="preserve">increasing </w:t>
      </w:r>
      <w:r>
        <w:rPr>
          <w:rFonts w:ascii="Times New Roman" w:hAnsi="Times New Roman" w:cs="Times New Roman"/>
        </w:rPr>
        <w:t xml:space="preserve">the probability of error even further. Once such crimes </w:t>
      </w:r>
      <w:proofErr w:type="gramStart"/>
      <w:r>
        <w:rPr>
          <w:rFonts w:ascii="Times New Roman" w:hAnsi="Times New Roman" w:cs="Times New Roman"/>
        </w:rPr>
        <w:t>are enacted</w:t>
      </w:r>
      <w:proofErr w:type="gramEnd"/>
      <w:r>
        <w:rPr>
          <w:rFonts w:ascii="Times New Roman" w:hAnsi="Times New Roman" w:cs="Times New Roman"/>
        </w:rPr>
        <w:t xml:space="preserve">, individuals behaving suspiciously yet harmlessly could </w:t>
      </w:r>
      <w:r w:rsidR="00F707F8">
        <w:rPr>
          <w:rFonts w:ascii="Times New Roman" w:hAnsi="Times New Roman" w:cs="Times New Roman"/>
        </w:rPr>
        <w:t xml:space="preserve">more </w:t>
      </w:r>
      <w:r>
        <w:rPr>
          <w:rFonts w:ascii="Times New Roman" w:hAnsi="Times New Roman" w:cs="Times New Roman"/>
        </w:rPr>
        <w:t>easily be convicted. When viewed in context, however, one can see how these crimes fit into a general framework of criminal liability that aims to assign punishments based on evidentiary certainty. P</w:t>
      </w:r>
      <w:r w:rsidRPr="001603B2">
        <w:rPr>
          <w:rFonts w:ascii="Times New Roman" w:hAnsi="Times New Roman" w:cs="Times New Roman"/>
        </w:rPr>
        <w:t>reparatory crimes reflect the greatest degree of evidentiary uncertainty</w:t>
      </w:r>
      <w:r>
        <w:rPr>
          <w:rFonts w:ascii="Times New Roman" w:hAnsi="Times New Roman" w:cs="Times New Roman"/>
        </w:rPr>
        <w:t xml:space="preserve"> given their broad definition and</w:t>
      </w:r>
      <w:r w:rsidRPr="001603B2">
        <w:rPr>
          <w:rFonts w:ascii="Times New Roman" w:hAnsi="Times New Roman" w:cs="Times New Roman"/>
        </w:rPr>
        <w:t xml:space="preserve"> are generally assigned relatively minor penalties. </w:t>
      </w:r>
      <w:r w:rsidR="003C2766">
        <w:rPr>
          <w:rFonts w:ascii="Times New Roman" w:hAnsi="Times New Roman" w:cs="Times New Roman"/>
        </w:rPr>
        <w:t>The p</w:t>
      </w:r>
      <w:r w:rsidR="003C2766" w:rsidRPr="001603B2">
        <w:rPr>
          <w:rFonts w:ascii="Times New Roman" w:hAnsi="Times New Roman" w:cs="Times New Roman"/>
        </w:rPr>
        <w:t xml:space="preserve">ossession </w:t>
      </w:r>
      <w:r w:rsidRPr="001603B2">
        <w:rPr>
          <w:rFonts w:ascii="Times New Roman" w:hAnsi="Times New Roman" w:cs="Times New Roman"/>
        </w:rPr>
        <w:t xml:space="preserve">of burglary tools, for instance, </w:t>
      </w:r>
      <w:proofErr w:type="gramStart"/>
      <w:r w:rsidRPr="001603B2">
        <w:rPr>
          <w:rFonts w:ascii="Times New Roman" w:hAnsi="Times New Roman" w:cs="Times New Roman"/>
        </w:rPr>
        <w:t>is classified</w:t>
      </w:r>
      <w:proofErr w:type="gramEnd"/>
      <w:r w:rsidRPr="001603B2">
        <w:rPr>
          <w:rFonts w:ascii="Times New Roman" w:hAnsi="Times New Roman" w:cs="Times New Roman"/>
        </w:rPr>
        <w:t xml:space="preserve"> as a misdemeanor in most jurisdictions</w:t>
      </w:r>
      <w:r>
        <w:rPr>
          <w:rFonts w:ascii="Times New Roman" w:hAnsi="Times New Roman" w:cs="Times New Roman"/>
        </w:rPr>
        <w:t>;</w:t>
      </w:r>
      <w:r w:rsidRPr="001603B2">
        <w:rPr>
          <w:rStyle w:val="FootnoteReference"/>
          <w:rFonts w:ascii="Times New Roman" w:hAnsi="Times New Roman"/>
        </w:rPr>
        <w:footnoteReference w:id="198"/>
      </w:r>
      <w:r>
        <w:rPr>
          <w:rFonts w:ascii="Times New Roman" w:hAnsi="Times New Roman" w:cs="Times New Roman"/>
        </w:rPr>
        <w:t xml:space="preserve"> while criminal trespass is usually viewed as a lesser offense </w:t>
      </w:r>
      <w:r w:rsidR="003C2766">
        <w:rPr>
          <w:rFonts w:ascii="Times New Roman" w:hAnsi="Times New Roman" w:cs="Times New Roman"/>
        </w:rPr>
        <w:t>included in</w:t>
      </w:r>
      <w:r>
        <w:rPr>
          <w:rFonts w:ascii="Times New Roman" w:hAnsi="Times New Roman" w:cs="Times New Roman"/>
        </w:rPr>
        <w:t xml:space="preserve"> the </w:t>
      </w:r>
      <w:r>
        <w:rPr>
          <w:rFonts w:ascii="Times New Roman" w:hAnsi="Times New Roman" w:cs="Times New Roman"/>
        </w:rPr>
        <w:lastRenderedPageBreak/>
        <w:t>crime of burglary.</w:t>
      </w:r>
      <w:bookmarkStart w:id="50" w:name="_Ref433364028"/>
      <w:r>
        <w:rPr>
          <w:rStyle w:val="FootnoteReference"/>
          <w:rFonts w:ascii="Times New Roman" w:hAnsi="Times New Roman"/>
        </w:rPr>
        <w:footnoteReference w:id="199"/>
      </w:r>
      <w:bookmarkEnd w:id="50"/>
      <w:r w:rsidRPr="001603B2">
        <w:rPr>
          <w:rFonts w:ascii="Times New Roman" w:hAnsi="Times New Roman" w:cs="Times New Roman"/>
        </w:rPr>
        <w:t xml:space="preserve"> Criminal attempts reflect greater evidentiary clarity</w:t>
      </w:r>
      <w:r>
        <w:rPr>
          <w:rFonts w:ascii="Times New Roman" w:hAnsi="Times New Roman" w:cs="Times New Roman"/>
        </w:rPr>
        <w:t xml:space="preserve"> as they capture criminal behavior at a more advanced stage. Typically, an </w:t>
      </w:r>
      <w:proofErr w:type="spellStart"/>
      <w:r>
        <w:rPr>
          <w:rFonts w:ascii="Times New Roman" w:hAnsi="Times New Roman" w:cs="Times New Roman"/>
        </w:rPr>
        <w:t>attempter</w:t>
      </w:r>
      <w:proofErr w:type="spellEnd"/>
      <w:r>
        <w:rPr>
          <w:rFonts w:ascii="Times New Roman" w:hAnsi="Times New Roman" w:cs="Times New Roman"/>
        </w:rPr>
        <w:t xml:space="preserve"> has already taken more steps to further his criminal plot and </w:t>
      </w:r>
      <w:r w:rsidR="003C2766">
        <w:rPr>
          <w:rFonts w:ascii="Times New Roman" w:hAnsi="Times New Roman" w:cs="Times New Roman"/>
        </w:rPr>
        <w:t xml:space="preserve">has </w:t>
      </w:r>
      <w:r>
        <w:rPr>
          <w:rFonts w:ascii="Times New Roman" w:hAnsi="Times New Roman" w:cs="Times New Roman"/>
        </w:rPr>
        <w:t xml:space="preserve">crossed the preparation border. </w:t>
      </w:r>
      <w:r w:rsidRPr="001603B2">
        <w:rPr>
          <w:rFonts w:ascii="Times New Roman" w:hAnsi="Times New Roman" w:cs="Times New Roman"/>
        </w:rPr>
        <w:t xml:space="preserve">As a result, attempts </w:t>
      </w:r>
      <w:proofErr w:type="gramStart"/>
      <w:r w:rsidRPr="001603B2">
        <w:rPr>
          <w:rFonts w:ascii="Times New Roman" w:hAnsi="Times New Roman" w:cs="Times New Roman"/>
        </w:rPr>
        <w:t>are usually penalized</w:t>
      </w:r>
      <w:proofErr w:type="gramEnd"/>
      <w:r w:rsidRPr="001603B2">
        <w:rPr>
          <w:rFonts w:ascii="Times New Roman" w:hAnsi="Times New Roman" w:cs="Times New Roman"/>
        </w:rPr>
        <w:t xml:space="preserve"> more severely than preparatory crimes.</w:t>
      </w:r>
      <w:r>
        <w:rPr>
          <w:rFonts w:ascii="Times New Roman" w:hAnsi="Times New Roman" w:cs="Times New Roman"/>
        </w:rPr>
        <w:t xml:space="preserve"> </w:t>
      </w:r>
      <w:r w:rsidRPr="001603B2">
        <w:rPr>
          <w:rFonts w:ascii="Times New Roman" w:hAnsi="Times New Roman" w:cs="Times New Roman"/>
        </w:rPr>
        <w:t xml:space="preserve">Finally, the most severe sanctions </w:t>
      </w:r>
      <w:proofErr w:type="gramStart"/>
      <w:r w:rsidRPr="001603B2">
        <w:rPr>
          <w:rFonts w:ascii="Times New Roman" w:hAnsi="Times New Roman" w:cs="Times New Roman"/>
        </w:rPr>
        <w:t>are reserved</w:t>
      </w:r>
      <w:proofErr w:type="gramEnd"/>
      <w:r w:rsidRPr="001603B2">
        <w:rPr>
          <w:rFonts w:ascii="Times New Roman" w:hAnsi="Times New Roman" w:cs="Times New Roman"/>
        </w:rPr>
        <w:t xml:space="preserve"> for complete crimes. </w:t>
      </w:r>
      <w:r>
        <w:rPr>
          <w:rFonts w:ascii="Times New Roman" w:hAnsi="Times New Roman" w:cs="Times New Roman"/>
        </w:rPr>
        <w:t>Only w</w:t>
      </w:r>
      <w:r w:rsidRPr="001603B2">
        <w:rPr>
          <w:rFonts w:ascii="Times New Roman" w:hAnsi="Times New Roman" w:cs="Times New Roman"/>
        </w:rPr>
        <w:t xml:space="preserve">hen the offender </w:t>
      </w:r>
      <w:r w:rsidR="003C2766">
        <w:rPr>
          <w:rFonts w:ascii="Times New Roman" w:hAnsi="Times New Roman" w:cs="Times New Roman"/>
        </w:rPr>
        <w:t xml:space="preserve">has </w:t>
      </w:r>
      <w:r w:rsidRPr="001603B2">
        <w:rPr>
          <w:rFonts w:ascii="Times New Roman" w:hAnsi="Times New Roman" w:cs="Times New Roman"/>
        </w:rPr>
        <w:t xml:space="preserve">completed all the elements of the crime and evidentiary uncertainty is at a minimum </w:t>
      </w:r>
      <w:r>
        <w:rPr>
          <w:rFonts w:ascii="Times New Roman" w:hAnsi="Times New Roman" w:cs="Times New Roman"/>
        </w:rPr>
        <w:t xml:space="preserve">does </w:t>
      </w:r>
      <w:r w:rsidRPr="001603B2">
        <w:rPr>
          <w:rFonts w:ascii="Times New Roman" w:hAnsi="Times New Roman" w:cs="Times New Roman"/>
        </w:rPr>
        <w:t xml:space="preserve">the law assign the sanction that the offender truly </w:t>
      </w:r>
      <w:proofErr w:type="gramStart"/>
      <w:r w:rsidRPr="001603B2">
        <w:rPr>
          <w:rFonts w:ascii="Times New Roman" w:hAnsi="Times New Roman" w:cs="Times New Roman"/>
        </w:rPr>
        <w:t>deserves.</w:t>
      </w:r>
      <w:proofErr w:type="gramEnd"/>
      <w:r w:rsidRPr="001603B2">
        <w:rPr>
          <w:rFonts w:ascii="Times New Roman" w:hAnsi="Times New Roman" w:cs="Times New Roman"/>
        </w:rPr>
        <w:t xml:space="preserve"> </w:t>
      </w:r>
      <w:r>
        <w:rPr>
          <w:rFonts w:ascii="Times New Roman" w:hAnsi="Times New Roman" w:cs="Times New Roman"/>
        </w:rPr>
        <w:t xml:space="preserve">Thus, contrary to </w:t>
      </w:r>
      <w:proofErr w:type="spellStart"/>
      <w:r>
        <w:rPr>
          <w:rFonts w:ascii="Times New Roman" w:hAnsi="Times New Roman" w:cs="Times New Roman"/>
        </w:rPr>
        <w:t>Kolber’s</w:t>
      </w:r>
      <w:proofErr w:type="spellEnd"/>
      <w:r>
        <w:rPr>
          <w:rFonts w:ascii="Times New Roman" w:hAnsi="Times New Roman" w:cs="Times New Roman"/>
        </w:rPr>
        <w:t xml:space="preserve"> assertion that the law of criminal attempts is bumpy </w:t>
      </w:r>
      <w:r w:rsidR="003C2766">
        <w:rPr>
          <w:rFonts w:ascii="Times New Roman" w:hAnsi="Times New Roman" w:cs="Times New Roman"/>
        </w:rPr>
        <w:t xml:space="preserve">because </w:t>
      </w:r>
      <w:r>
        <w:rPr>
          <w:rFonts w:ascii="Times New Roman" w:hAnsi="Times New Roman" w:cs="Times New Roman"/>
        </w:rPr>
        <w:t>at one moment a defendant “</w:t>
      </w:r>
      <w:r w:rsidRPr="00E3753B">
        <w:rPr>
          <w:rFonts w:ascii="Times New Roman" w:hAnsi="Times New Roman" w:cs="Times New Roman"/>
        </w:rPr>
        <w:t>has no criminal</w:t>
      </w:r>
      <w:r>
        <w:rPr>
          <w:rFonts w:ascii="Times New Roman" w:hAnsi="Times New Roman" w:cs="Times New Roman"/>
        </w:rPr>
        <w:t xml:space="preserve"> </w:t>
      </w:r>
      <w:r w:rsidRPr="00E3753B">
        <w:rPr>
          <w:rFonts w:ascii="Times New Roman" w:hAnsi="Times New Roman" w:cs="Times New Roman"/>
        </w:rPr>
        <w:t>liability whatsoever, and just a moment later, he has sufficient criminal liability</w:t>
      </w:r>
      <w:r>
        <w:rPr>
          <w:rFonts w:ascii="Times New Roman" w:hAnsi="Times New Roman" w:cs="Times New Roman"/>
        </w:rPr>
        <w:t xml:space="preserve"> </w:t>
      </w:r>
      <w:r w:rsidRPr="00E3753B">
        <w:rPr>
          <w:rFonts w:ascii="Times New Roman" w:hAnsi="Times New Roman" w:cs="Times New Roman"/>
        </w:rPr>
        <w:t>to receive several years’ incarceration</w:t>
      </w:r>
      <w:r w:rsidR="00BB7ED3">
        <w:rPr>
          <w:rFonts w:ascii="Times New Roman" w:hAnsi="Times New Roman" w:cs="Times New Roman"/>
        </w:rPr>
        <w:t>,</w:t>
      </w:r>
      <w:r>
        <w:rPr>
          <w:rFonts w:ascii="Times New Roman" w:hAnsi="Times New Roman" w:cs="Times New Roman"/>
        </w:rPr>
        <w:t>”</w:t>
      </w:r>
      <w:bookmarkStart w:id="51" w:name="_Ref465600442"/>
      <w:r>
        <w:rPr>
          <w:rStyle w:val="FootnoteReference"/>
          <w:rFonts w:ascii="Times New Roman" w:hAnsi="Times New Roman"/>
        </w:rPr>
        <w:footnoteReference w:id="200"/>
      </w:r>
      <w:bookmarkEnd w:id="51"/>
      <w:r>
        <w:rPr>
          <w:rFonts w:ascii="Times New Roman" w:hAnsi="Times New Roman" w:cs="Times New Roman"/>
        </w:rPr>
        <w:t xml:space="preserve"> viewed in its entirety attempt law turns out to be rather smooth. </w:t>
      </w:r>
    </w:p>
    <w:p w14:paraId="53C7BD6C" w14:textId="77777777" w:rsidR="00DB23F8" w:rsidRPr="00F707F8" w:rsidRDefault="00DB23F8" w:rsidP="0089408A">
      <w:pPr>
        <w:pStyle w:val="ListParagraph"/>
        <w:numPr>
          <w:ilvl w:val="0"/>
          <w:numId w:val="13"/>
        </w:numPr>
        <w:bidi w:val="0"/>
        <w:jc w:val="both"/>
        <w:rPr>
          <w:rFonts w:ascii="Times New Roman" w:hAnsi="Times New Roman" w:cs="Times New Roman"/>
          <w:i/>
          <w:iCs/>
        </w:rPr>
      </w:pPr>
      <w:r w:rsidRPr="00F707F8">
        <w:rPr>
          <w:rFonts w:ascii="Times New Roman" w:hAnsi="Times New Roman" w:cs="Times New Roman"/>
          <w:i/>
          <w:iCs/>
        </w:rPr>
        <w:t>States of Mind</w:t>
      </w:r>
    </w:p>
    <w:p w14:paraId="30BAAE67" w14:textId="77777777" w:rsidR="00DB23F8" w:rsidRPr="001603B2" w:rsidRDefault="00DB23F8" w:rsidP="002F343F">
      <w:pPr>
        <w:bidi w:val="0"/>
        <w:ind w:firstLine="720"/>
        <w:jc w:val="both"/>
        <w:rPr>
          <w:rFonts w:ascii="Times New Roman" w:hAnsi="Times New Roman" w:cs="Times New Roman"/>
        </w:rPr>
      </w:pPr>
      <w:r w:rsidRPr="001603B2">
        <w:rPr>
          <w:rFonts w:ascii="Times New Roman" w:hAnsi="Times New Roman" w:cs="Times New Roman"/>
        </w:rPr>
        <w:t>Aside from their objective elements, crimes also include a subjective element—</w:t>
      </w:r>
      <w:proofErr w:type="spellStart"/>
      <w:r w:rsidRPr="001603B2">
        <w:rPr>
          <w:rFonts w:ascii="Times New Roman" w:hAnsi="Times New Roman" w:cs="Times New Roman"/>
          <w:i/>
          <w:iCs/>
        </w:rPr>
        <w:t>mens</w:t>
      </w:r>
      <w:proofErr w:type="spellEnd"/>
      <w:r w:rsidRPr="001603B2">
        <w:rPr>
          <w:rFonts w:ascii="Times New Roman" w:hAnsi="Times New Roman" w:cs="Times New Roman"/>
          <w:i/>
          <w:iCs/>
        </w:rPr>
        <w:t xml:space="preserve"> rea</w:t>
      </w:r>
      <w:r w:rsidRPr="001603B2">
        <w:rPr>
          <w:rFonts w:ascii="Times New Roman" w:hAnsi="Times New Roman" w:cs="Times New Roman"/>
        </w:rPr>
        <w:t>—that relates to the defendant’s state of mind.</w:t>
      </w:r>
      <w:r>
        <w:rPr>
          <w:rStyle w:val="FootnoteReference"/>
          <w:rFonts w:ascii="Times New Roman" w:hAnsi="Times New Roman"/>
        </w:rPr>
        <w:footnoteReference w:id="201"/>
      </w:r>
      <w:r w:rsidRPr="001603B2">
        <w:rPr>
          <w:rFonts w:ascii="Times New Roman" w:hAnsi="Times New Roman" w:cs="Times New Roman"/>
        </w:rPr>
        <w:t xml:space="preserve"> The subjective element of the crime examines both the defendant’s awareness </w:t>
      </w:r>
      <w:r w:rsidR="003C2766">
        <w:rPr>
          <w:rFonts w:ascii="Times New Roman" w:hAnsi="Times New Roman" w:cs="Times New Roman"/>
        </w:rPr>
        <w:t>of</w:t>
      </w:r>
      <w:r w:rsidR="003C2766" w:rsidRPr="001603B2">
        <w:rPr>
          <w:rFonts w:ascii="Times New Roman" w:hAnsi="Times New Roman" w:cs="Times New Roman"/>
        </w:rPr>
        <w:t xml:space="preserve"> </w:t>
      </w:r>
      <w:r w:rsidRPr="001603B2">
        <w:rPr>
          <w:rFonts w:ascii="Times New Roman" w:hAnsi="Times New Roman" w:cs="Times New Roman"/>
        </w:rPr>
        <w:t>the different objective elements of the crime and his attitude towards potential consequences</w:t>
      </w:r>
      <w:r>
        <w:rPr>
          <w:rFonts w:ascii="Times New Roman" w:hAnsi="Times New Roman" w:cs="Times New Roman"/>
        </w:rPr>
        <w:t xml:space="preserve"> (to the extent those consequences are an objective element of the crime)</w:t>
      </w:r>
      <w:r w:rsidRPr="001603B2">
        <w:rPr>
          <w:rFonts w:ascii="Times New Roman" w:hAnsi="Times New Roman" w:cs="Times New Roman"/>
        </w:rPr>
        <w:t xml:space="preserve">. </w:t>
      </w:r>
      <w:r>
        <w:rPr>
          <w:rFonts w:ascii="Times New Roman" w:hAnsi="Times New Roman" w:cs="Times New Roman"/>
        </w:rPr>
        <w:t>It incorporates into the law the long held view that “an act does not make one guilty unless his mind is guilty</w:t>
      </w:r>
      <w:r w:rsidRPr="001603B2">
        <w:rPr>
          <w:rFonts w:ascii="Times New Roman" w:hAnsi="Times New Roman" w:cs="Times New Roman"/>
        </w:rPr>
        <w:t>.</w:t>
      </w:r>
      <w:r>
        <w:rPr>
          <w:rFonts w:ascii="Times New Roman" w:hAnsi="Times New Roman" w:cs="Times New Roman"/>
        </w:rPr>
        <w:t>”</w:t>
      </w:r>
      <w:bookmarkStart w:id="52" w:name="_Ref427664091"/>
      <w:r>
        <w:rPr>
          <w:rStyle w:val="FootnoteReference"/>
          <w:rFonts w:ascii="Times New Roman" w:hAnsi="Times New Roman"/>
        </w:rPr>
        <w:footnoteReference w:id="202"/>
      </w:r>
      <w:bookmarkEnd w:id="52"/>
      <w:r w:rsidRPr="001603B2">
        <w:rPr>
          <w:rFonts w:ascii="Times New Roman" w:hAnsi="Times New Roman" w:cs="Times New Roman"/>
        </w:rPr>
        <w:t xml:space="preserve"> </w:t>
      </w:r>
    </w:p>
    <w:p w14:paraId="04C17AEA" w14:textId="77777777" w:rsidR="00DB23F8" w:rsidRPr="001603B2" w:rsidRDefault="00DB23F8" w:rsidP="002F343F">
      <w:pPr>
        <w:bidi w:val="0"/>
        <w:jc w:val="both"/>
        <w:rPr>
          <w:rFonts w:ascii="Times New Roman" w:hAnsi="Times New Roman" w:cs="Times New Roman"/>
          <w:rtl/>
        </w:rPr>
      </w:pPr>
      <w:r w:rsidRPr="001603B2">
        <w:rPr>
          <w:rFonts w:ascii="Times New Roman" w:hAnsi="Times New Roman" w:cs="Times New Roman"/>
        </w:rPr>
        <w:tab/>
        <w:t xml:space="preserve">Limiting criminal liability only to those </w:t>
      </w:r>
      <w:r>
        <w:rPr>
          <w:rFonts w:ascii="Times New Roman" w:hAnsi="Times New Roman" w:cs="Times New Roman"/>
        </w:rPr>
        <w:t>who act with a</w:t>
      </w:r>
      <w:r w:rsidRPr="001603B2">
        <w:rPr>
          <w:rFonts w:ascii="Times New Roman" w:hAnsi="Times New Roman" w:cs="Times New Roman"/>
        </w:rPr>
        <w:t xml:space="preserve"> bad mental state </w:t>
      </w:r>
      <w:r>
        <w:rPr>
          <w:rFonts w:ascii="Times New Roman" w:hAnsi="Times New Roman" w:cs="Times New Roman"/>
        </w:rPr>
        <w:t>is desirable on many grounds. It reflects moral judgments and fits into a retributive framework of punishment</w:t>
      </w:r>
      <w:bookmarkStart w:id="53" w:name="_Ref427535143"/>
      <w:r>
        <w:rPr>
          <w:rFonts w:ascii="Times New Roman" w:hAnsi="Times New Roman" w:cs="Times New Roman"/>
        </w:rPr>
        <w:t>.</w:t>
      </w:r>
      <w:r>
        <w:rPr>
          <w:rStyle w:val="FootnoteReference"/>
          <w:rFonts w:ascii="Times New Roman" w:hAnsi="Times New Roman"/>
        </w:rPr>
        <w:footnoteReference w:id="203"/>
      </w:r>
      <w:bookmarkEnd w:id="53"/>
      <w:r>
        <w:rPr>
          <w:rFonts w:ascii="Times New Roman" w:hAnsi="Times New Roman" w:cs="Times New Roman"/>
        </w:rPr>
        <w:t xml:space="preserve"> In addition, it helps assign criminal liability only to </w:t>
      </w:r>
      <w:proofErr w:type="gramStart"/>
      <w:r>
        <w:rPr>
          <w:rFonts w:ascii="Times New Roman" w:hAnsi="Times New Roman" w:cs="Times New Roman"/>
        </w:rPr>
        <w:t>acts that are truly socially harmful</w:t>
      </w:r>
      <w:proofErr w:type="gramEnd"/>
      <w:r>
        <w:rPr>
          <w:rFonts w:ascii="Times New Roman" w:hAnsi="Times New Roman" w:cs="Times New Roman"/>
        </w:rPr>
        <w:t>.</w:t>
      </w:r>
      <w:bookmarkStart w:id="54" w:name="_Ref427535153"/>
      <w:r>
        <w:rPr>
          <w:rStyle w:val="FootnoteReference"/>
          <w:rFonts w:ascii="Times New Roman" w:hAnsi="Times New Roman"/>
        </w:rPr>
        <w:footnoteReference w:id="204"/>
      </w:r>
      <w:bookmarkEnd w:id="54"/>
      <w:r>
        <w:rPr>
          <w:rFonts w:ascii="Times New Roman" w:hAnsi="Times New Roman" w:cs="Times New Roman"/>
        </w:rPr>
        <w:t xml:space="preserve"> Yet conditioning criminal liability on the defendant’s state of mind </w:t>
      </w:r>
      <w:r w:rsidRPr="001603B2">
        <w:rPr>
          <w:rFonts w:ascii="Times New Roman" w:hAnsi="Times New Roman" w:cs="Times New Roman"/>
        </w:rPr>
        <w:t xml:space="preserve">entails the acquittal of many individuals who deserve to </w:t>
      </w:r>
      <w:proofErr w:type="gramStart"/>
      <w:r w:rsidRPr="001603B2">
        <w:rPr>
          <w:rFonts w:ascii="Times New Roman" w:hAnsi="Times New Roman" w:cs="Times New Roman"/>
        </w:rPr>
        <w:t>be punished</w:t>
      </w:r>
      <w:proofErr w:type="gramEnd"/>
      <w:r w:rsidRPr="001603B2">
        <w:rPr>
          <w:rFonts w:ascii="Times New Roman" w:hAnsi="Times New Roman" w:cs="Times New Roman"/>
        </w:rPr>
        <w:t>. Proving mental states is a thorny task</w:t>
      </w:r>
      <w:r w:rsidR="003C2766">
        <w:rPr>
          <w:rFonts w:ascii="Times New Roman" w:hAnsi="Times New Roman" w:cs="Times New Roman"/>
        </w:rPr>
        <w:t xml:space="preserve"> because</w:t>
      </w:r>
      <w:r w:rsidRPr="001603B2">
        <w:rPr>
          <w:rFonts w:ascii="Times New Roman" w:hAnsi="Times New Roman" w:cs="Times New Roman"/>
        </w:rPr>
        <w:t xml:space="preserve"> absent a confession it has to </w:t>
      </w:r>
      <w:proofErr w:type="gramStart"/>
      <w:r w:rsidRPr="001603B2">
        <w:rPr>
          <w:rFonts w:ascii="Times New Roman" w:hAnsi="Times New Roman" w:cs="Times New Roman"/>
        </w:rPr>
        <w:t>be deduced</w:t>
      </w:r>
      <w:proofErr w:type="gramEnd"/>
      <w:r w:rsidRPr="001603B2">
        <w:rPr>
          <w:rFonts w:ascii="Times New Roman" w:hAnsi="Times New Roman" w:cs="Times New Roman"/>
        </w:rPr>
        <w:t xml:space="preserve"> from the surrounding circumstances. At the end of the day, in many cases the defendant’s </w:t>
      </w:r>
      <w:r>
        <w:rPr>
          <w:rFonts w:ascii="Times New Roman" w:hAnsi="Times New Roman" w:cs="Times New Roman"/>
        </w:rPr>
        <w:t>state of mind</w:t>
      </w:r>
      <w:r w:rsidRPr="001603B2">
        <w:rPr>
          <w:rFonts w:ascii="Times New Roman" w:hAnsi="Times New Roman" w:cs="Times New Roman"/>
        </w:rPr>
        <w:t xml:space="preserve"> might be very suspicious</w:t>
      </w:r>
      <w:r>
        <w:rPr>
          <w:rFonts w:ascii="Times New Roman" w:hAnsi="Times New Roman" w:cs="Times New Roman"/>
        </w:rPr>
        <w:t>,</w:t>
      </w:r>
      <w:r w:rsidRPr="001603B2">
        <w:rPr>
          <w:rFonts w:ascii="Times New Roman" w:hAnsi="Times New Roman" w:cs="Times New Roman"/>
        </w:rPr>
        <w:t xml:space="preserve"> </w:t>
      </w:r>
      <w:r>
        <w:rPr>
          <w:rFonts w:ascii="Times New Roman" w:hAnsi="Times New Roman" w:cs="Times New Roman"/>
        </w:rPr>
        <w:t>but</w:t>
      </w:r>
      <w:r w:rsidRPr="001603B2">
        <w:rPr>
          <w:rFonts w:ascii="Times New Roman" w:hAnsi="Times New Roman" w:cs="Times New Roman"/>
        </w:rPr>
        <w:t xml:space="preserve"> reasonable doubt </w:t>
      </w:r>
      <w:proofErr w:type="gramStart"/>
      <w:r w:rsidRPr="001603B2">
        <w:rPr>
          <w:rFonts w:ascii="Times New Roman" w:hAnsi="Times New Roman" w:cs="Times New Roman"/>
        </w:rPr>
        <w:t>might still</w:t>
      </w:r>
      <w:proofErr w:type="gramEnd"/>
      <w:r w:rsidRPr="001603B2">
        <w:rPr>
          <w:rFonts w:ascii="Times New Roman" w:hAnsi="Times New Roman" w:cs="Times New Roman"/>
        </w:rPr>
        <w:t xml:space="preserve"> </w:t>
      </w:r>
      <w:r w:rsidR="003C2766">
        <w:rPr>
          <w:rFonts w:ascii="Times New Roman" w:hAnsi="Times New Roman" w:cs="Times New Roman"/>
        </w:rPr>
        <w:t>remain</w:t>
      </w:r>
      <w:r w:rsidRPr="001603B2">
        <w:rPr>
          <w:rFonts w:ascii="Times New Roman" w:hAnsi="Times New Roman" w:cs="Times New Roman"/>
        </w:rPr>
        <w:t>.</w:t>
      </w:r>
      <w:r>
        <w:rPr>
          <w:rFonts w:ascii="Times New Roman" w:hAnsi="Times New Roman" w:cs="Times New Roman"/>
        </w:rPr>
        <w:t xml:space="preserve"> In such situations, policymakers cannot avoid dealing with the question </w:t>
      </w:r>
      <w:r w:rsidR="003C2766">
        <w:rPr>
          <w:rFonts w:ascii="Times New Roman" w:hAnsi="Times New Roman" w:cs="Times New Roman"/>
        </w:rPr>
        <w:t xml:space="preserve">of </w:t>
      </w:r>
      <w:r>
        <w:rPr>
          <w:rFonts w:ascii="Times New Roman" w:hAnsi="Times New Roman" w:cs="Times New Roman"/>
        </w:rPr>
        <w:t xml:space="preserve">how sanctions </w:t>
      </w:r>
      <w:proofErr w:type="gramStart"/>
      <w:r>
        <w:rPr>
          <w:rFonts w:ascii="Times New Roman" w:hAnsi="Times New Roman" w:cs="Times New Roman"/>
        </w:rPr>
        <w:t>should be distributed</w:t>
      </w:r>
      <w:proofErr w:type="gramEnd"/>
      <w:r>
        <w:rPr>
          <w:rFonts w:ascii="Times New Roman" w:hAnsi="Times New Roman" w:cs="Times New Roman"/>
        </w:rPr>
        <w:t xml:space="preserve"> in the face of evidentiary uncertainty. </w:t>
      </w:r>
    </w:p>
    <w:p w14:paraId="0D952027" w14:textId="77777777" w:rsidR="00DB23F8" w:rsidRDefault="00DB23F8" w:rsidP="002F343F">
      <w:pPr>
        <w:bidi w:val="0"/>
        <w:jc w:val="both"/>
        <w:rPr>
          <w:rFonts w:ascii="Times New Roman" w:hAnsi="Times New Roman" w:cs="Times New Roman"/>
        </w:rPr>
      </w:pPr>
      <w:r w:rsidRPr="001603B2">
        <w:rPr>
          <w:rFonts w:ascii="Times New Roman" w:hAnsi="Times New Roman" w:cs="Times New Roman"/>
        </w:rPr>
        <w:tab/>
        <w:t xml:space="preserve">Legal systems </w:t>
      </w:r>
      <w:r>
        <w:rPr>
          <w:rFonts w:ascii="Times New Roman" w:hAnsi="Times New Roman" w:cs="Times New Roman"/>
        </w:rPr>
        <w:t>that</w:t>
      </w:r>
      <w:r w:rsidRPr="001603B2">
        <w:rPr>
          <w:rFonts w:ascii="Times New Roman" w:hAnsi="Times New Roman" w:cs="Times New Roman"/>
        </w:rPr>
        <w:t xml:space="preserve"> wish to alter the balance between wrongful convictions and wrongful acquittals may do so by easing the mental state requirement that </w:t>
      </w:r>
      <w:proofErr w:type="gramStart"/>
      <w:r w:rsidRPr="001603B2">
        <w:rPr>
          <w:rFonts w:ascii="Times New Roman" w:hAnsi="Times New Roman" w:cs="Times New Roman"/>
        </w:rPr>
        <w:t>is incorporated</w:t>
      </w:r>
      <w:proofErr w:type="gramEnd"/>
      <w:r w:rsidRPr="001603B2">
        <w:rPr>
          <w:rFonts w:ascii="Times New Roman" w:hAnsi="Times New Roman" w:cs="Times New Roman"/>
        </w:rPr>
        <w:t xml:space="preserve"> into the crime. By </w:t>
      </w:r>
      <w:r>
        <w:rPr>
          <w:rFonts w:ascii="Times New Roman" w:hAnsi="Times New Roman" w:cs="Times New Roman"/>
        </w:rPr>
        <w:t>doing so</w:t>
      </w:r>
      <w:r w:rsidRPr="001603B2">
        <w:rPr>
          <w:rFonts w:ascii="Times New Roman" w:hAnsi="Times New Roman" w:cs="Times New Roman"/>
        </w:rPr>
        <w:t xml:space="preserve">, the legal system can convict and punish </w:t>
      </w:r>
      <w:r>
        <w:rPr>
          <w:rFonts w:ascii="Times New Roman" w:hAnsi="Times New Roman" w:cs="Times New Roman"/>
        </w:rPr>
        <w:t xml:space="preserve">in cases in which proving an elevated </w:t>
      </w:r>
      <w:proofErr w:type="spellStart"/>
      <w:r>
        <w:rPr>
          <w:rFonts w:ascii="Times New Roman" w:hAnsi="Times New Roman" w:cs="Times New Roman"/>
        </w:rPr>
        <w:t>mens</w:t>
      </w:r>
      <w:proofErr w:type="spellEnd"/>
      <w:r>
        <w:rPr>
          <w:rFonts w:ascii="Times New Roman" w:hAnsi="Times New Roman" w:cs="Times New Roman"/>
        </w:rPr>
        <w:t xml:space="preserve"> rea was difficult. Viewed from an evidentiary perspective, t</w:t>
      </w:r>
      <w:r w:rsidRPr="001603B2">
        <w:rPr>
          <w:rFonts w:ascii="Times New Roman" w:hAnsi="Times New Roman" w:cs="Times New Roman"/>
        </w:rPr>
        <w:t xml:space="preserve">he point is that in such situations </w:t>
      </w:r>
      <w:r w:rsidR="003C2766">
        <w:rPr>
          <w:rFonts w:ascii="Times New Roman" w:hAnsi="Times New Roman" w:cs="Times New Roman"/>
        </w:rPr>
        <w:t xml:space="preserve">a </w:t>
      </w:r>
      <w:r>
        <w:rPr>
          <w:rFonts w:ascii="Times New Roman" w:hAnsi="Times New Roman" w:cs="Times New Roman"/>
        </w:rPr>
        <w:t xml:space="preserve">lower </w:t>
      </w:r>
      <w:proofErr w:type="spellStart"/>
      <w:r>
        <w:rPr>
          <w:rFonts w:ascii="Times New Roman" w:hAnsi="Times New Roman" w:cs="Times New Roman"/>
        </w:rPr>
        <w:t>mens</w:t>
      </w:r>
      <w:proofErr w:type="spellEnd"/>
      <w:r>
        <w:rPr>
          <w:rFonts w:ascii="Times New Roman" w:hAnsi="Times New Roman" w:cs="Times New Roman"/>
        </w:rPr>
        <w:t xml:space="preserve"> rea does not reflect the actual mental state of the defendant. </w:t>
      </w:r>
      <w:r w:rsidRPr="001603B2">
        <w:rPr>
          <w:rFonts w:ascii="Times New Roman" w:hAnsi="Times New Roman" w:cs="Times New Roman"/>
        </w:rPr>
        <w:t xml:space="preserve">Rather, </w:t>
      </w:r>
      <w:r>
        <w:rPr>
          <w:rFonts w:ascii="Times New Roman" w:hAnsi="Times New Roman" w:cs="Times New Roman"/>
        </w:rPr>
        <w:t xml:space="preserve">it reflects a probabilistic assessment of the defendant’s state of mind and acknowledges the possibility that the higher </w:t>
      </w:r>
      <w:proofErr w:type="spellStart"/>
      <w:r>
        <w:rPr>
          <w:rFonts w:ascii="Times New Roman" w:hAnsi="Times New Roman" w:cs="Times New Roman"/>
        </w:rPr>
        <w:t>mens</w:t>
      </w:r>
      <w:proofErr w:type="spellEnd"/>
      <w:r>
        <w:rPr>
          <w:rFonts w:ascii="Times New Roman" w:hAnsi="Times New Roman" w:cs="Times New Roman"/>
        </w:rPr>
        <w:t xml:space="preserve"> rea exists but </w:t>
      </w:r>
      <w:proofErr w:type="gramStart"/>
      <w:r>
        <w:rPr>
          <w:rFonts w:ascii="Times New Roman" w:hAnsi="Times New Roman" w:cs="Times New Roman"/>
        </w:rPr>
        <w:t>was not proven</w:t>
      </w:r>
      <w:proofErr w:type="gramEnd"/>
      <w:r>
        <w:rPr>
          <w:rFonts w:ascii="Times New Roman" w:hAnsi="Times New Roman" w:cs="Times New Roman"/>
        </w:rPr>
        <w:t xml:space="preserve"> beyond a reasonable doubt. In other words, just as different acts can serve as proxies for culpable behavior, a lower </w:t>
      </w:r>
      <w:proofErr w:type="spellStart"/>
      <w:r>
        <w:rPr>
          <w:rFonts w:ascii="Times New Roman" w:hAnsi="Times New Roman" w:cs="Times New Roman"/>
        </w:rPr>
        <w:t>mens</w:t>
      </w:r>
      <w:proofErr w:type="spellEnd"/>
      <w:r>
        <w:rPr>
          <w:rFonts w:ascii="Times New Roman" w:hAnsi="Times New Roman" w:cs="Times New Roman"/>
        </w:rPr>
        <w:t xml:space="preserve"> rea can function as a proxy for the existence of an elevated </w:t>
      </w:r>
      <w:proofErr w:type="spellStart"/>
      <w:r>
        <w:rPr>
          <w:rFonts w:ascii="Times New Roman" w:hAnsi="Times New Roman" w:cs="Times New Roman"/>
        </w:rPr>
        <w:t>mens</w:t>
      </w:r>
      <w:proofErr w:type="spellEnd"/>
      <w:r>
        <w:rPr>
          <w:rFonts w:ascii="Times New Roman" w:hAnsi="Times New Roman" w:cs="Times New Roman"/>
        </w:rPr>
        <w:t xml:space="preserve"> rea.</w:t>
      </w:r>
    </w:p>
    <w:p w14:paraId="557C1C21" w14:textId="612B7A39" w:rsidR="00DB23F8" w:rsidRDefault="00DB23F8" w:rsidP="007B1DDB">
      <w:pPr>
        <w:bidi w:val="0"/>
        <w:jc w:val="both"/>
        <w:rPr>
          <w:rFonts w:ascii="Times New Roman" w:hAnsi="Times New Roman" w:cs="Times New Roman"/>
          <w:rtl/>
        </w:rPr>
      </w:pPr>
      <w:r>
        <w:rPr>
          <w:rFonts w:ascii="Times New Roman" w:hAnsi="Times New Roman" w:cs="Times New Roman"/>
        </w:rPr>
        <w:lastRenderedPageBreak/>
        <w:tab/>
      </w:r>
      <w:r w:rsidR="007B1DDB">
        <w:rPr>
          <w:rFonts w:ascii="Times New Roman" w:hAnsi="Times New Roman" w:cs="Times New Roman"/>
        </w:rPr>
        <w:t>A first example in this context is the use of strict liability in criminal law. As noted above, strict liability offences are often justified on evidentiary grounds.</w:t>
      </w:r>
      <w:r w:rsidR="007B1DDB">
        <w:rPr>
          <w:rStyle w:val="FootnoteReference"/>
          <w:rFonts w:ascii="Times New Roman" w:hAnsi="Times New Roman"/>
        </w:rPr>
        <w:footnoteReference w:id="205"/>
      </w:r>
      <w:r w:rsidR="007B1DDB">
        <w:rPr>
          <w:rFonts w:ascii="Times New Roman" w:hAnsi="Times New Roman" w:cs="Times New Roman"/>
        </w:rPr>
        <w:t xml:space="preserve"> </w:t>
      </w:r>
      <w:r>
        <w:rPr>
          <w:rFonts w:ascii="Times New Roman" w:hAnsi="Times New Roman" w:cs="Times New Roman"/>
        </w:rPr>
        <w:t xml:space="preserve">Notably for present purposes, the law usually attaches relatively low sanctions to strict liability </w:t>
      </w:r>
      <w:r w:rsidR="00296EC3">
        <w:rPr>
          <w:rFonts w:ascii="Times New Roman" w:hAnsi="Times New Roman" w:cs="Times New Roman"/>
        </w:rPr>
        <w:t>offenses</w:t>
      </w:r>
      <w:r>
        <w:rPr>
          <w:rFonts w:ascii="Times New Roman" w:hAnsi="Times New Roman" w:cs="Times New Roman"/>
        </w:rPr>
        <w:t>.</w:t>
      </w:r>
      <w:r>
        <w:rPr>
          <w:rStyle w:val="FootnoteReference"/>
          <w:rFonts w:ascii="Times New Roman" w:hAnsi="Times New Roman"/>
        </w:rPr>
        <w:footnoteReference w:id="206"/>
      </w:r>
      <w:r>
        <w:rPr>
          <w:rFonts w:ascii="Times New Roman" w:hAnsi="Times New Roman" w:cs="Times New Roman"/>
        </w:rPr>
        <w:t xml:space="preserve"> The Model Penal Code, for example, views such offenses as “violations” that carry only light sanctions.</w:t>
      </w:r>
      <w:r>
        <w:rPr>
          <w:rStyle w:val="FootnoteReference"/>
          <w:rFonts w:ascii="Times New Roman" w:hAnsi="Times New Roman"/>
        </w:rPr>
        <w:footnoteReference w:id="207"/>
      </w:r>
      <w:r>
        <w:rPr>
          <w:rFonts w:ascii="Times New Roman" w:hAnsi="Times New Roman" w:cs="Times New Roman"/>
        </w:rPr>
        <w:t xml:space="preserve"> Along the same lines, when courts determine whether an offense is one for which liability is strict they often </w:t>
      </w:r>
      <w:r w:rsidR="00A94C56">
        <w:rPr>
          <w:rFonts w:ascii="Times New Roman" w:hAnsi="Times New Roman" w:cs="Times New Roman"/>
        </w:rPr>
        <w:t>include in</w:t>
      </w:r>
      <w:r>
        <w:rPr>
          <w:rFonts w:ascii="Times New Roman" w:hAnsi="Times New Roman" w:cs="Times New Roman"/>
        </w:rPr>
        <w:t xml:space="preserve"> their analysis the penalty attached to the offense.</w:t>
      </w:r>
      <w:r>
        <w:rPr>
          <w:rStyle w:val="FootnoteReference"/>
          <w:rFonts w:ascii="Times New Roman" w:hAnsi="Times New Roman"/>
        </w:rPr>
        <w:footnoteReference w:id="208"/>
      </w:r>
      <w:r>
        <w:rPr>
          <w:rFonts w:ascii="Times New Roman" w:hAnsi="Times New Roman" w:cs="Times New Roman"/>
        </w:rPr>
        <w:t xml:space="preserve"> The greater the penalty</w:t>
      </w:r>
      <w:r w:rsidR="00A94C56">
        <w:rPr>
          <w:rFonts w:ascii="Times New Roman" w:hAnsi="Times New Roman" w:cs="Times New Roman"/>
        </w:rPr>
        <w:t>,</w:t>
      </w:r>
      <w:r>
        <w:rPr>
          <w:rFonts w:ascii="Times New Roman" w:hAnsi="Times New Roman" w:cs="Times New Roman"/>
        </w:rPr>
        <w:t xml:space="preserve"> the larger the probability the court will find the offense to be fault</w:t>
      </w:r>
      <w:r w:rsidR="00A94C56">
        <w:rPr>
          <w:rFonts w:ascii="Times New Roman" w:hAnsi="Times New Roman" w:cs="Times New Roman"/>
        </w:rPr>
        <w:t>-</w:t>
      </w:r>
      <w:r>
        <w:rPr>
          <w:rFonts w:ascii="Times New Roman" w:hAnsi="Times New Roman" w:cs="Times New Roman"/>
        </w:rPr>
        <w:t>based and vice versa. Th</w:t>
      </w:r>
      <w:r w:rsidR="00A94C56">
        <w:rPr>
          <w:rFonts w:ascii="Times New Roman" w:hAnsi="Times New Roman" w:cs="Times New Roman"/>
        </w:rPr>
        <w:t>erefore</w:t>
      </w:r>
      <w:r>
        <w:rPr>
          <w:rFonts w:ascii="Times New Roman" w:hAnsi="Times New Roman" w:cs="Times New Roman"/>
        </w:rPr>
        <w:t xml:space="preserve">, for example, a defendant who delivers </w:t>
      </w:r>
      <w:r w:rsidRPr="00261B2B">
        <w:rPr>
          <w:rFonts w:ascii="Times New Roman" w:hAnsi="Times New Roman" w:cs="Times New Roman"/>
        </w:rPr>
        <w:t>adulterated or misbranded</w:t>
      </w:r>
      <w:r>
        <w:rPr>
          <w:rFonts w:ascii="Times New Roman" w:hAnsi="Times New Roman" w:cs="Times New Roman"/>
        </w:rPr>
        <w:t xml:space="preserve"> food is subject to a maximum penalty of one year even if the prosecution cannot prove his state of mind</w:t>
      </w:r>
      <w:r w:rsidR="00A94C56">
        <w:rPr>
          <w:rFonts w:ascii="Times New Roman" w:hAnsi="Times New Roman" w:cs="Times New Roman"/>
        </w:rPr>
        <w:t xml:space="preserve"> </w:t>
      </w:r>
      <w:r>
        <w:rPr>
          <w:rFonts w:ascii="Times New Roman" w:hAnsi="Times New Roman" w:cs="Times New Roman"/>
        </w:rPr>
        <w:t xml:space="preserve">yet will face a maximum penalty of three years if it </w:t>
      </w:r>
      <w:proofErr w:type="gramStart"/>
      <w:r>
        <w:rPr>
          <w:rFonts w:ascii="Times New Roman" w:hAnsi="Times New Roman" w:cs="Times New Roman"/>
        </w:rPr>
        <w:t>can be shown</w:t>
      </w:r>
      <w:proofErr w:type="gramEnd"/>
      <w:r>
        <w:rPr>
          <w:rFonts w:ascii="Times New Roman" w:hAnsi="Times New Roman" w:cs="Times New Roman"/>
        </w:rPr>
        <w:t xml:space="preserve"> beyond a reasonable doubt that the delivery was done with </w:t>
      </w:r>
      <w:r w:rsidR="00A94C56">
        <w:rPr>
          <w:rFonts w:ascii="Times New Roman" w:hAnsi="Times New Roman" w:cs="Times New Roman"/>
        </w:rPr>
        <w:t xml:space="preserve">the </w:t>
      </w:r>
      <w:r>
        <w:rPr>
          <w:rFonts w:ascii="Times New Roman" w:hAnsi="Times New Roman" w:cs="Times New Roman"/>
        </w:rPr>
        <w:t>intent to defraud.</w:t>
      </w:r>
      <w:r>
        <w:rPr>
          <w:rStyle w:val="FootnoteReference"/>
          <w:rFonts w:ascii="Times New Roman" w:hAnsi="Times New Roman"/>
        </w:rPr>
        <w:footnoteReference w:id="209"/>
      </w:r>
      <w:r>
        <w:rPr>
          <w:rFonts w:ascii="Times New Roman" w:hAnsi="Times New Roman" w:cs="Times New Roman"/>
        </w:rPr>
        <w:t xml:space="preserve"> This is consistent with the evidentiary theory of punishment. Strict liability offenses are an effective way to punish the guilty, yet they also entail a cost in the </w:t>
      </w:r>
      <w:r w:rsidR="00A94C56">
        <w:rPr>
          <w:rFonts w:ascii="Times New Roman" w:hAnsi="Times New Roman" w:cs="Times New Roman"/>
        </w:rPr>
        <w:t xml:space="preserve">form </w:t>
      </w:r>
      <w:r>
        <w:rPr>
          <w:rFonts w:ascii="Times New Roman" w:hAnsi="Times New Roman" w:cs="Times New Roman"/>
        </w:rPr>
        <w:t xml:space="preserve">of punishing some innocents along the way. As a result, the sanctions attached to such crimes are lower </w:t>
      </w:r>
      <w:proofErr w:type="gramStart"/>
      <w:r>
        <w:rPr>
          <w:rFonts w:ascii="Times New Roman" w:hAnsi="Times New Roman" w:cs="Times New Roman"/>
        </w:rPr>
        <w:t xml:space="preserve">than </w:t>
      </w:r>
      <w:r w:rsidR="00A94C56">
        <w:rPr>
          <w:rFonts w:ascii="Times New Roman" w:hAnsi="Times New Roman" w:cs="Times New Roman"/>
        </w:rPr>
        <w:t>those</w:t>
      </w:r>
      <w:proofErr w:type="gramEnd"/>
      <w:r w:rsidR="00A94C56">
        <w:rPr>
          <w:rFonts w:ascii="Times New Roman" w:hAnsi="Times New Roman" w:cs="Times New Roman"/>
        </w:rPr>
        <w:t xml:space="preserve"> </w:t>
      </w:r>
      <w:r>
        <w:rPr>
          <w:rFonts w:ascii="Times New Roman" w:hAnsi="Times New Roman" w:cs="Times New Roman"/>
        </w:rPr>
        <w:t xml:space="preserve">for fault-based crimes in which the culpability of the offender was proven beyond a reasonable doubt. </w:t>
      </w:r>
    </w:p>
    <w:p w14:paraId="154FF62F" w14:textId="0C9E536B" w:rsidR="00DB23F8" w:rsidRDefault="00DB23F8" w:rsidP="007B1DDB">
      <w:pPr>
        <w:bidi w:val="0"/>
        <w:ind w:firstLine="720"/>
        <w:jc w:val="both"/>
        <w:rPr>
          <w:rFonts w:ascii="Times New Roman" w:hAnsi="Times New Roman" w:cs="Times New Roman"/>
        </w:rPr>
      </w:pPr>
      <w:r>
        <w:rPr>
          <w:rFonts w:ascii="Times New Roman" w:hAnsi="Times New Roman" w:cs="Times New Roman"/>
        </w:rPr>
        <w:t>While strict liability may serve as an effective tool to adjust the burden of proof</w:t>
      </w:r>
      <w:r w:rsidR="007B1DDB">
        <w:rPr>
          <w:rFonts w:ascii="Times New Roman" w:hAnsi="Times New Roman" w:cs="Times New Roman"/>
        </w:rPr>
        <w:t xml:space="preserve"> downward</w:t>
      </w:r>
      <w:r>
        <w:rPr>
          <w:rFonts w:ascii="Times New Roman" w:hAnsi="Times New Roman" w:cs="Times New Roman"/>
        </w:rPr>
        <w:t xml:space="preserve">, it also raises the problem of intentionally punishing the innocent in those cases in which the presumptions that lie at the basis of the </w:t>
      </w:r>
      <w:r w:rsidR="00296EC3">
        <w:rPr>
          <w:rFonts w:ascii="Times New Roman" w:hAnsi="Times New Roman" w:cs="Times New Roman"/>
        </w:rPr>
        <w:t>offense</w:t>
      </w:r>
      <w:r>
        <w:rPr>
          <w:rFonts w:ascii="Times New Roman" w:hAnsi="Times New Roman" w:cs="Times New Roman"/>
        </w:rPr>
        <w:t xml:space="preserve"> </w:t>
      </w:r>
      <w:proofErr w:type="gramStart"/>
      <w:r>
        <w:rPr>
          <w:rFonts w:ascii="Times New Roman" w:hAnsi="Times New Roman" w:cs="Times New Roman"/>
        </w:rPr>
        <w:t>are rebutted</w:t>
      </w:r>
      <w:proofErr w:type="gramEnd"/>
      <w:r>
        <w:rPr>
          <w:rFonts w:ascii="Times New Roman" w:hAnsi="Times New Roman" w:cs="Times New Roman"/>
        </w:rPr>
        <w:t xml:space="preserve">. </w:t>
      </w:r>
      <w:r w:rsidR="00A94C56">
        <w:rPr>
          <w:rFonts w:ascii="Times New Roman" w:hAnsi="Times New Roman" w:cs="Times New Roman"/>
        </w:rPr>
        <w:t>F</w:t>
      </w:r>
      <w:r>
        <w:rPr>
          <w:rFonts w:ascii="Times New Roman" w:hAnsi="Times New Roman" w:cs="Times New Roman"/>
        </w:rPr>
        <w:t xml:space="preserve">or instance, </w:t>
      </w:r>
      <w:r w:rsidR="00A94C56">
        <w:rPr>
          <w:rFonts w:ascii="Times New Roman" w:hAnsi="Times New Roman" w:cs="Times New Roman"/>
        </w:rPr>
        <w:t xml:space="preserve">take </w:t>
      </w:r>
      <w:r>
        <w:rPr>
          <w:rFonts w:ascii="Times New Roman" w:hAnsi="Times New Roman" w:cs="Times New Roman"/>
        </w:rPr>
        <w:t xml:space="preserve">the case of </w:t>
      </w:r>
      <w:r w:rsidR="00A94C56">
        <w:rPr>
          <w:rFonts w:ascii="Times New Roman" w:hAnsi="Times New Roman" w:cs="Times New Roman"/>
        </w:rPr>
        <w:t xml:space="preserve">a </w:t>
      </w:r>
      <w:r>
        <w:rPr>
          <w:rFonts w:ascii="Times New Roman" w:hAnsi="Times New Roman" w:cs="Times New Roman"/>
        </w:rPr>
        <w:t>butcher who sells meat unfit for consumption even though he takes all the necessary precautions.</w:t>
      </w:r>
      <w:r>
        <w:rPr>
          <w:rStyle w:val="FootnoteReference"/>
          <w:rFonts w:ascii="Times New Roman" w:hAnsi="Times New Roman"/>
        </w:rPr>
        <w:footnoteReference w:id="210"/>
      </w:r>
      <w:r>
        <w:rPr>
          <w:rFonts w:ascii="Times New Roman" w:hAnsi="Times New Roman" w:cs="Times New Roman"/>
        </w:rPr>
        <w:t xml:space="preserve"> While defining </w:t>
      </w:r>
      <w:r w:rsidR="00A94C56">
        <w:rPr>
          <w:rFonts w:ascii="Times New Roman" w:hAnsi="Times New Roman" w:cs="Times New Roman"/>
        </w:rPr>
        <w:t xml:space="preserve">the </w:t>
      </w:r>
      <w:r w:rsidR="00296EC3">
        <w:rPr>
          <w:rFonts w:ascii="Times New Roman" w:hAnsi="Times New Roman" w:cs="Times New Roman"/>
        </w:rPr>
        <w:t>offense</w:t>
      </w:r>
      <w:r>
        <w:rPr>
          <w:rFonts w:ascii="Times New Roman" w:hAnsi="Times New Roman" w:cs="Times New Roman"/>
        </w:rPr>
        <w:t xml:space="preserve"> of selling such meat as strict will eliminate the problems associated with proving states of mind beyond a reasonable doubt and wrongfully acquitting the guilty, it will do so at the cost of forcing courts </w:t>
      </w:r>
      <w:proofErr w:type="gramStart"/>
      <w:r>
        <w:rPr>
          <w:rFonts w:ascii="Times New Roman" w:hAnsi="Times New Roman" w:cs="Times New Roman"/>
        </w:rPr>
        <w:t>to knowingly convict</w:t>
      </w:r>
      <w:proofErr w:type="gramEnd"/>
      <w:r>
        <w:rPr>
          <w:rFonts w:ascii="Times New Roman" w:hAnsi="Times New Roman" w:cs="Times New Roman"/>
        </w:rPr>
        <w:t xml:space="preserve"> innocent butchers from time to time.</w:t>
      </w:r>
    </w:p>
    <w:p w14:paraId="37A41489" w14:textId="1CE6FAF5" w:rsidR="00DB23F8" w:rsidRDefault="00DB23F8" w:rsidP="00320D19">
      <w:pPr>
        <w:bidi w:val="0"/>
        <w:ind w:firstLine="720"/>
        <w:jc w:val="both"/>
        <w:rPr>
          <w:rFonts w:ascii="Times New Roman" w:hAnsi="Times New Roman" w:cs="Times New Roman"/>
        </w:rPr>
      </w:pPr>
      <w:r>
        <w:rPr>
          <w:rFonts w:ascii="Times New Roman" w:hAnsi="Times New Roman" w:cs="Times New Roman"/>
        </w:rPr>
        <w:t>A potential way the law can deal with such situations is by incorporating a good</w:t>
      </w:r>
      <w:r w:rsidR="00A94C56">
        <w:rPr>
          <w:rFonts w:ascii="Times New Roman" w:hAnsi="Times New Roman" w:cs="Times New Roman"/>
        </w:rPr>
        <w:t xml:space="preserve"> </w:t>
      </w:r>
      <w:r>
        <w:rPr>
          <w:rFonts w:ascii="Times New Roman" w:hAnsi="Times New Roman" w:cs="Times New Roman"/>
        </w:rPr>
        <w:t xml:space="preserve">faith defense into strict liability </w:t>
      </w:r>
      <w:r w:rsidR="00296EC3">
        <w:rPr>
          <w:rFonts w:ascii="Times New Roman" w:hAnsi="Times New Roman" w:cs="Times New Roman"/>
        </w:rPr>
        <w:t>offenses</w:t>
      </w:r>
      <w:r>
        <w:rPr>
          <w:rFonts w:ascii="Times New Roman" w:hAnsi="Times New Roman" w:cs="Times New Roman"/>
        </w:rPr>
        <w:t>.</w:t>
      </w:r>
      <w:bookmarkStart w:id="55" w:name="_Ref439006166"/>
      <w:r>
        <w:rPr>
          <w:rStyle w:val="FootnoteReference"/>
          <w:rFonts w:ascii="Times New Roman" w:hAnsi="Times New Roman"/>
        </w:rPr>
        <w:footnoteReference w:id="211"/>
      </w:r>
      <w:bookmarkEnd w:id="55"/>
      <w:r>
        <w:rPr>
          <w:rFonts w:ascii="Times New Roman" w:hAnsi="Times New Roman" w:cs="Times New Roman"/>
        </w:rPr>
        <w:t xml:space="preserve"> Such a defense would sustain the presumption of criminality associated with the actus </w:t>
      </w:r>
      <w:proofErr w:type="spellStart"/>
      <w:proofErr w:type="gramStart"/>
      <w:r>
        <w:rPr>
          <w:rFonts w:ascii="Times New Roman" w:hAnsi="Times New Roman" w:cs="Times New Roman"/>
        </w:rPr>
        <w:t>reus</w:t>
      </w:r>
      <w:proofErr w:type="spellEnd"/>
      <w:proofErr w:type="gramEnd"/>
      <w:r>
        <w:rPr>
          <w:rFonts w:ascii="Times New Roman" w:hAnsi="Times New Roman" w:cs="Times New Roman"/>
        </w:rPr>
        <w:t xml:space="preserve"> of strict liability </w:t>
      </w:r>
      <w:r w:rsidR="00296EC3">
        <w:rPr>
          <w:rFonts w:ascii="Times New Roman" w:hAnsi="Times New Roman" w:cs="Times New Roman"/>
        </w:rPr>
        <w:t>offenses</w:t>
      </w:r>
      <w:r>
        <w:rPr>
          <w:rFonts w:ascii="Times New Roman" w:hAnsi="Times New Roman" w:cs="Times New Roman"/>
        </w:rPr>
        <w:t xml:space="preserve"> but would allow defendants to prove that their conduct was not truly wrongful.</w:t>
      </w:r>
      <w:r>
        <w:rPr>
          <w:rStyle w:val="FootnoteReference"/>
          <w:rFonts w:ascii="Times New Roman" w:hAnsi="Times New Roman"/>
        </w:rPr>
        <w:footnoteReference w:id="212"/>
      </w:r>
      <w:r>
        <w:rPr>
          <w:rFonts w:ascii="Times New Roman" w:hAnsi="Times New Roman" w:cs="Times New Roman"/>
        </w:rPr>
        <w:t xml:space="preserve"> Adopting this framework would probably not alter most criminal cases, </w:t>
      </w:r>
      <w:r w:rsidR="00A94C56">
        <w:rPr>
          <w:rFonts w:ascii="Times New Roman" w:hAnsi="Times New Roman" w:cs="Times New Roman"/>
        </w:rPr>
        <w:t xml:space="preserve">as </w:t>
      </w:r>
      <w:r>
        <w:rPr>
          <w:rFonts w:ascii="Times New Roman" w:hAnsi="Times New Roman" w:cs="Times New Roman"/>
        </w:rPr>
        <w:t xml:space="preserve">it would only come into play in a small subset of cases in which defendants hold truly unique exculpatory evidence. Thus, many innocent defendants will continue to </w:t>
      </w:r>
      <w:proofErr w:type="gramStart"/>
      <w:r>
        <w:rPr>
          <w:rFonts w:ascii="Times New Roman" w:hAnsi="Times New Roman" w:cs="Times New Roman"/>
        </w:rPr>
        <w:t>be convicted</w:t>
      </w:r>
      <w:proofErr w:type="gramEnd"/>
      <w:r>
        <w:rPr>
          <w:rFonts w:ascii="Times New Roman" w:hAnsi="Times New Roman" w:cs="Times New Roman"/>
        </w:rPr>
        <w:t xml:space="preserve"> under this rule. Nonetheless, adopting a good</w:t>
      </w:r>
      <w:r w:rsidR="00F86A2D">
        <w:rPr>
          <w:rFonts w:ascii="Times New Roman" w:hAnsi="Times New Roman" w:cs="Times New Roman"/>
        </w:rPr>
        <w:t xml:space="preserve"> </w:t>
      </w:r>
      <w:r>
        <w:rPr>
          <w:rFonts w:ascii="Times New Roman" w:hAnsi="Times New Roman" w:cs="Times New Roman"/>
        </w:rPr>
        <w:t xml:space="preserve">faith defense is of </w:t>
      </w:r>
      <w:r>
        <w:rPr>
          <w:rFonts w:ascii="Times New Roman" w:hAnsi="Times New Roman" w:cs="Times New Roman"/>
        </w:rPr>
        <w:lastRenderedPageBreak/>
        <w:t xml:space="preserve">importance from a retributive perspective, </w:t>
      </w:r>
      <w:r w:rsidR="00F86A2D">
        <w:rPr>
          <w:rFonts w:ascii="Times New Roman" w:hAnsi="Times New Roman" w:cs="Times New Roman"/>
        </w:rPr>
        <w:t>as</w:t>
      </w:r>
      <w:r>
        <w:rPr>
          <w:rFonts w:ascii="Times New Roman" w:hAnsi="Times New Roman" w:cs="Times New Roman"/>
        </w:rPr>
        <w:t xml:space="preserve"> it targets the precise subset of cases in which strict liability requires adjudicators </w:t>
      </w:r>
      <w:proofErr w:type="gramStart"/>
      <w:r>
        <w:rPr>
          <w:rFonts w:ascii="Times New Roman" w:hAnsi="Times New Roman" w:cs="Times New Roman"/>
        </w:rPr>
        <w:t>to knowingly punish</w:t>
      </w:r>
      <w:proofErr w:type="gramEnd"/>
      <w:r>
        <w:rPr>
          <w:rFonts w:ascii="Times New Roman" w:hAnsi="Times New Roman" w:cs="Times New Roman"/>
        </w:rPr>
        <w:t xml:space="preserve"> the innocent. By allowing adjudicators to acquit defendants in such cases, the moral dilemma associated with knowingly punishing the innocent </w:t>
      </w:r>
      <w:proofErr w:type="gramStart"/>
      <w:r>
        <w:rPr>
          <w:rFonts w:ascii="Times New Roman" w:hAnsi="Times New Roman" w:cs="Times New Roman"/>
        </w:rPr>
        <w:t>can be sidestepped</w:t>
      </w:r>
      <w:proofErr w:type="gramEnd"/>
      <w:r>
        <w:rPr>
          <w:rFonts w:ascii="Times New Roman" w:hAnsi="Times New Roman" w:cs="Times New Roman"/>
        </w:rPr>
        <w:t>.</w:t>
      </w:r>
      <w:bookmarkStart w:id="56" w:name="_Ref439006168"/>
      <w:r>
        <w:rPr>
          <w:rStyle w:val="FootnoteReference"/>
          <w:rFonts w:ascii="Times New Roman" w:hAnsi="Times New Roman"/>
        </w:rPr>
        <w:footnoteReference w:id="213"/>
      </w:r>
      <w:bookmarkEnd w:id="56"/>
    </w:p>
    <w:p w14:paraId="2CB48CBC" w14:textId="288EA2FB" w:rsidR="00DB23F8" w:rsidRPr="0014083A" w:rsidRDefault="00DB23F8" w:rsidP="005A01B9">
      <w:pPr>
        <w:bidi w:val="0"/>
        <w:ind w:firstLine="720"/>
        <w:jc w:val="both"/>
        <w:rPr>
          <w:rFonts w:ascii="Times New Roman" w:hAnsi="Times New Roman" w:cs="Times New Roman"/>
        </w:rPr>
      </w:pPr>
      <w:r>
        <w:rPr>
          <w:rFonts w:ascii="Times New Roman" w:hAnsi="Times New Roman" w:cs="Times New Roman"/>
        </w:rPr>
        <w:t>To be sure, not all legislative uses of strict liability correspond with the evidentiary theory of punishment. The clearest example of this point is the framework surrounding statutory rape in the United States. A large number of states continue to hold a strict liability regime for the crime of having sex with a minor who is younger than the age of consent.</w:t>
      </w:r>
      <w:bookmarkStart w:id="57" w:name="_Ref431381827"/>
      <w:r>
        <w:rPr>
          <w:rStyle w:val="FootnoteReference"/>
          <w:rFonts w:ascii="Times New Roman" w:hAnsi="Times New Roman"/>
        </w:rPr>
        <w:footnoteReference w:id="214"/>
      </w:r>
      <w:bookmarkEnd w:id="57"/>
      <w:r>
        <w:rPr>
          <w:rFonts w:ascii="Times New Roman" w:hAnsi="Times New Roman" w:cs="Times New Roman"/>
        </w:rPr>
        <w:t xml:space="preserve"> This crime carries stiff penalties</w:t>
      </w:r>
      <w:r>
        <w:rPr>
          <w:rStyle w:val="FootnoteReference"/>
          <w:rFonts w:ascii="Times New Roman" w:hAnsi="Times New Roman"/>
        </w:rPr>
        <w:footnoteReference w:id="215"/>
      </w:r>
      <w:r>
        <w:rPr>
          <w:rFonts w:ascii="Times New Roman" w:hAnsi="Times New Roman" w:cs="Times New Roman"/>
        </w:rPr>
        <w:t xml:space="preserve"> and triggers a host of adverse consequences that stem from the branding of the accused as a sex offender.</w:t>
      </w:r>
      <w:r>
        <w:rPr>
          <w:rStyle w:val="FootnoteReference"/>
          <w:rFonts w:ascii="Times New Roman" w:hAnsi="Times New Roman"/>
        </w:rPr>
        <w:footnoteReference w:id="216"/>
      </w:r>
      <w:r>
        <w:rPr>
          <w:rFonts w:ascii="Times New Roman" w:hAnsi="Times New Roman" w:cs="Times New Roman"/>
        </w:rPr>
        <w:t xml:space="preserve"> While this framework might be justified on evidentiary grounds, it does not fit into the evidentiary theory presented here. The evidentiary theory is not a blank check that justifies the turning of any crime into a strict liability crime. Rather, the evidentiary theory suggests a careful grading of </w:t>
      </w:r>
      <w:r w:rsidR="00296EC3">
        <w:rPr>
          <w:rFonts w:ascii="Times New Roman" w:hAnsi="Times New Roman" w:cs="Times New Roman"/>
        </w:rPr>
        <w:t>offenses</w:t>
      </w:r>
      <w:r>
        <w:rPr>
          <w:rFonts w:ascii="Times New Roman" w:hAnsi="Times New Roman" w:cs="Times New Roman"/>
        </w:rPr>
        <w:t xml:space="preserve"> that corresponds to the degree of certainty of guilt. In the context of statutory rape</w:t>
      </w:r>
      <w:r w:rsidR="00F86A2D">
        <w:rPr>
          <w:rFonts w:ascii="Times New Roman" w:hAnsi="Times New Roman" w:cs="Times New Roman"/>
        </w:rPr>
        <w:t>,</w:t>
      </w:r>
      <w:r>
        <w:rPr>
          <w:rFonts w:ascii="Times New Roman" w:hAnsi="Times New Roman" w:cs="Times New Roman"/>
        </w:rPr>
        <w:t xml:space="preserve"> this would require drawing distinctions between cases in which knowledge of age </w:t>
      </w:r>
      <w:proofErr w:type="gramStart"/>
      <w:r>
        <w:rPr>
          <w:rFonts w:ascii="Times New Roman" w:hAnsi="Times New Roman" w:cs="Times New Roman"/>
        </w:rPr>
        <w:t>was proven</w:t>
      </w:r>
      <w:proofErr w:type="gramEnd"/>
      <w:r>
        <w:rPr>
          <w:rFonts w:ascii="Times New Roman" w:hAnsi="Times New Roman" w:cs="Times New Roman"/>
        </w:rPr>
        <w:t xml:space="preserve"> beyond a reasonable doubt and cases in which it was proven to </w:t>
      </w:r>
      <w:r w:rsidR="00F86A2D">
        <w:rPr>
          <w:rFonts w:ascii="Times New Roman" w:hAnsi="Times New Roman" w:cs="Times New Roman"/>
        </w:rPr>
        <w:t xml:space="preserve">a lesser </w:t>
      </w:r>
      <w:r>
        <w:rPr>
          <w:rFonts w:ascii="Times New Roman" w:hAnsi="Times New Roman" w:cs="Times New Roman"/>
        </w:rPr>
        <w:t xml:space="preserve">degree. Cases falling on the latter side of this line </w:t>
      </w:r>
      <w:proofErr w:type="gramStart"/>
      <w:r>
        <w:rPr>
          <w:rFonts w:ascii="Times New Roman" w:hAnsi="Times New Roman" w:cs="Times New Roman"/>
        </w:rPr>
        <w:t>should be governed</w:t>
      </w:r>
      <w:proofErr w:type="gramEnd"/>
      <w:r>
        <w:rPr>
          <w:rFonts w:ascii="Times New Roman" w:hAnsi="Times New Roman" w:cs="Times New Roman"/>
        </w:rPr>
        <w:t xml:space="preserve"> by a distinct </w:t>
      </w:r>
      <w:r w:rsidR="00296EC3">
        <w:rPr>
          <w:rFonts w:ascii="Times New Roman" w:hAnsi="Times New Roman" w:cs="Times New Roman"/>
        </w:rPr>
        <w:t>offense</w:t>
      </w:r>
      <w:r>
        <w:rPr>
          <w:rFonts w:ascii="Times New Roman" w:hAnsi="Times New Roman" w:cs="Times New Roman"/>
        </w:rPr>
        <w:t xml:space="preserve"> that carries a relatively lighter penalty.</w:t>
      </w:r>
      <w:r w:rsidRPr="0014083A">
        <w:rPr>
          <w:rFonts w:ascii="Times New Roman" w:hAnsi="Times New Roman" w:cs="Times New Roman"/>
        </w:rPr>
        <w:t xml:space="preserve"> </w:t>
      </w:r>
    </w:p>
    <w:p w14:paraId="2587CE48" w14:textId="77777777" w:rsidR="00DB23F8" w:rsidRDefault="00F86A2D" w:rsidP="00DC53C2">
      <w:pPr>
        <w:bidi w:val="0"/>
        <w:ind w:firstLine="720"/>
        <w:jc w:val="both"/>
        <w:rPr>
          <w:rFonts w:ascii="Times New Roman" w:hAnsi="Times New Roman" w:cs="Times New Roman"/>
        </w:rPr>
      </w:pPr>
      <w:r>
        <w:rPr>
          <w:rFonts w:ascii="Times New Roman" w:hAnsi="Times New Roman" w:cs="Times New Roman"/>
        </w:rPr>
        <w:t>P</w:t>
      </w:r>
      <w:r w:rsidR="00DB23F8">
        <w:rPr>
          <w:rFonts w:ascii="Times New Roman" w:hAnsi="Times New Roman" w:cs="Times New Roman"/>
        </w:rPr>
        <w:t xml:space="preserve">erhaps </w:t>
      </w:r>
      <w:r>
        <w:rPr>
          <w:rFonts w:ascii="Times New Roman" w:hAnsi="Times New Roman" w:cs="Times New Roman"/>
        </w:rPr>
        <w:t xml:space="preserve">a </w:t>
      </w:r>
      <w:r w:rsidR="00DB23F8">
        <w:rPr>
          <w:rFonts w:ascii="Times New Roman" w:hAnsi="Times New Roman" w:cs="Times New Roman"/>
        </w:rPr>
        <w:t>less intuitive</w:t>
      </w:r>
      <w:r>
        <w:rPr>
          <w:rFonts w:ascii="Times New Roman" w:hAnsi="Times New Roman" w:cs="Times New Roman"/>
        </w:rPr>
        <w:t xml:space="preserve"> but</w:t>
      </w:r>
      <w:r w:rsidR="00DB23F8">
        <w:rPr>
          <w:rFonts w:ascii="Times New Roman" w:hAnsi="Times New Roman" w:cs="Times New Roman"/>
        </w:rPr>
        <w:t xml:space="preserve"> more prevalent example of the way in which the burden of proof structures mental states is negligence liability. Criminal negligence alludes to situations in which the defendant was unaware of certain elements of the crime</w:t>
      </w:r>
      <w:r>
        <w:rPr>
          <w:rFonts w:ascii="Times New Roman" w:hAnsi="Times New Roman" w:cs="Times New Roman"/>
        </w:rPr>
        <w:t xml:space="preserve"> but</w:t>
      </w:r>
      <w:r w:rsidR="00DB23F8">
        <w:rPr>
          <w:rFonts w:ascii="Times New Roman" w:hAnsi="Times New Roman" w:cs="Times New Roman"/>
        </w:rPr>
        <w:t xml:space="preserve"> should have been aware of their existence. As the Model Penal Code notes, “[a] person acts negligently with respect to a material element of the offense when he should be aware of a substantial and unjustifiable risk that the material element exists or will result from his conduct.”</w:t>
      </w:r>
      <w:bookmarkStart w:id="58" w:name="_Ref438730570"/>
      <w:r w:rsidR="00DB23F8">
        <w:rPr>
          <w:rStyle w:val="FootnoteReference"/>
          <w:rFonts w:ascii="Times New Roman" w:hAnsi="Times New Roman"/>
        </w:rPr>
        <w:footnoteReference w:id="217"/>
      </w:r>
      <w:bookmarkEnd w:id="58"/>
      <w:r w:rsidR="00DB23F8" w:rsidRPr="001603B2">
        <w:rPr>
          <w:rFonts w:ascii="Times New Roman" w:hAnsi="Times New Roman" w:cs="Times New Roman"/>
        </w:rPr>
        <w:t xml:space="preserve"> </w:t>
      </w:r>
    </w:p>
    <w:p w14:paraId="66016CA8" w14:textId="77777777" w:rsidR="00DB23F8" w:rsidRDefault="00DB23F8" w:rsidP="00DC53C2">
      <w:pPr>
        <w:bidi w:val="0"/>
        <w:jc w:val="both"/>
        <w:rPr>
          <w:rFonts w:ascii="Times New Roman" w:hAnsi="Times New Roman" w:cs="Times New Roman"/>
        </w:rPr>
      </w:pPr>
      <w:r>
        <w:rPr>
          <w:rFonts w:ascii="Times New Roman" w:hAnsi="Times New Roman" w:cs="Times New Roman"/>
        </w:rPr>
        <w:tab/>
        <w:t>Imposing criminal liability for negligent conduct is highly controversial.</w:t>
      </w:r>
      <w:bookmarkStart w:id="59" w:name="_Ref427675150"/>
      <w:r>
        <w:rPr>
          <w:rStyle w:val="FootnoteReference"/>
          <w:rFonts w:ascii="Times New Roman" w:hAnsi="Times New Roman"/>
        </w:rPr>
        <w:footnoteReference w:id="218"/>
      </w:r>
      <w:bookmarkEnd w:id="59"/>
      <w:r>
        <w:rPr>
          <w:rFonts w:ascii="Times New Roman" w:hAnsi="Times New Roman" w:cs="Times New Roman"/>
        </w:rPr>
        <w:t xml:space="preserve"> The linchpin of this controversy is the difficulty </w:t>
      </w:r>
      <w:r w:rsidR="00F86A2D">
        <w:rPr>
          <w:rFonts w:ascii="Times New Roman" w:hAnsi="Times New Roman" w:cs="Times New Roman"/>
        </w:rPr>
        <w:t xml:space="preserve">of </w:t>
      </w:r>
      <w:r>
        <w:rPr>
          <w:rFonts w:ascii="Times New Roman" w:hAnsi="Times New Roman" w:cs="Times New Roman"/>
        </w:rPr>
        <w:t>justify</w:t>
      </w:r>
      <w:r w:rsidR="00F86A2D">
        <w:rPr>
          <w:rFonts w:ascii="Times New Roman" w:hAnsi="Times New Roman" w:cs="Times New Roman"/>
        </w:rPr>
        <w:t>ing</w:t>
      </w:r>
      <w:r>
        <w:rPr>
          <w:rFonts w:ascii="Times New Roman" w:hAnsi="Times New Roman" w:cs="Times New Roman"/>
        </w:rPr>
        <w:t xml:space="preserve"> convicting individuals who are unaware of the nature of their conduct. According to the critics of negligence-based liability, the absence of awareness suggests lack of control, which is a necessary condition for viewing behavior as culpable. </w:t>
      </w:r>
      <w:r w:rsidR="00F86A2D">
        <w:rPr>
          <w:rFonts w:ascii="Times New Roman" w:hAnsi="Times New Roman" w:cs="Times New Roman"/>
        </w:rPr>
        <w:t>Therefore</w:t>
      </w:r>
      <w:r>
        <w:rPr>
          <w:rFonts w:ascii="Times New Roman" w:hAnsi="Times New Roman" w:cs="Times New Roman"/>
        </w:rPr>
        <w:t xml:space="preserve">, these critics </w:t>
      </w:r>
      <w:proofErr w:type="gramStart"/>
      <w:r>
        <w:rPr>
          <w:rFonts w:ascii="Times New Roman" w:hAnsi="Times New Roman" w:cs="Times New Roman"/>
        </w:rPr>
        <w:t>conclude that</w:t>
      </w:r>
      <w:proofErr w:type="gramEnd"/>
      <w:r>
        <w:rPr>
          <w:rFonts w:ascii="Times New Roman" w:hAnsi="Times New Roman" w:cs="Times New Roman"/>
        </w:rPr>
        <w:t xml:space="preserve"> “[a] culpability-based criminal law will not include liability for negligence.”</w:t>
      </w:r>
      <w:r>
        <w:rPr>
          <w:rStyle w:val="FootnoteReference"/>
          <w:rFonts w:ascii="Times New Roman" w:hAnsi="Times New Roman"/>
        </w:rPr>
        <w:footnoteReference w:id="219"/>
      </w:r>
      <w:r>
        <w:rPr>
          <w:rFonts w:ascii="Times New Roman" w:hAnsi="Times New Roman" w:cs="Times New Roman"/>
        </w:rPr>
        <w:t xml:space="preserve"> Proponents of negligence</w:t>
      </w:r>
      <w:r w:rsidR="00F86A2D">
        <w:rPr>
          <w:rFonts w:ascii="Times New Roman" w:hAnsi="Times New Roman" w:cs="Times New Roman"/>
        </w:rPr>
        <w:t>-</w:t>
      </w:r>
      <w:r>
        <w:rPr>
          <w:rFonts w:ascii="Times New Roman" w:hAnsi="Times New Roman" w:cs="Times New Roman"/>
        </w:rPr>
        <w:t>based criminal liability acknowledge the difficulty associated with punishing people for inadvertent behavior</w:t>
      </w:r>
      <w:r w:rsidR="00F86A2D">
        <w:rPr>
          <w:rFonts w:ascii="Times New Roman" w:hAnsi="Times New Roman" w:cs="Times New Roman"/>
        </w:rPr>
        <w:t xml:space="preserve"> but </w:t>
      </w:r>
      <w:r>
        <w:rPr>
          <w:rFonts w:ascii="Times New Roman" w:hAnsi="Times New Roman" w:cs="Times New Roman"/>
        </w:rPr>
        <w:lastRenderedPageBreak/>
        <w:t xml:space="preserve">highlight numerous justifications for this practice. </w:t>
      </w:r>
      <w:r w:rsidR="00F86A2D">
        <w:rPr>
          <w:rFonts w:ascii="Times New Roman" w:hAnsi="Times New Roman" w:cs="Times New Roman"/>
        </w:rPr>
        <w:t>F</w:t>
      </w:r>
      <w:r>
        <w:rPr>
          <w:rFonts w:ascii="Times New Roman" w:hAnsi="Times New Roman" w:cs="Times New Roman"/>
        </w:rPr>
        <w:t xml:space="preserve">or example, </w:t>
      </w:r>
      <w:r w:rsidR="00F86A2D">
        <w:rPr>
          <w:rFonts w:ascii="Times New Roman" w:hAnsi="Times New Roman" w:cs="Times New Roman"/>
        </w:rPr>
        <w:t xml:space="preserve">if </w:t>
      </w:r>
      <w:r>
        <w:rPr>
          <w:rFonts w:ascii="Times New Roman" w:hAnsi="Times New Roman" w:cs="Times New Roman"/>
        </w:rPr>
        <w:t>the defendant bears responsibility for his uninformed state of mind, then punishing him might be permissible.</w:t>
      </w:r>
      <w:r>
        <w:rPr>
          <w:rStyle w:val="FootnoteReference"/>
          <w:rFonts w:ascii="Times New Roman" w:hAnsi="Times New Roman"/>
        </w:rPr>
        <w:footnoteReference w:id="220"/>
      </w:r>
      <w:r>
        <w:rPr>
          <w:rFonts w:ascii="Times New Roman" w:hAnsi="Times New Roman" w:cs="Times New Roman"/>
        </w:rPr>
        <w:t xml:space="preserve"> </w:t>
      </w:r>
    </w:p>
    <w:p w14:paraId="5FB25454" w14:textId="30F2F7BB" w:rsidR="00DB23F8" w:rsidRPr="001603B2" w:rsidRDefault="00DB23F8" w:rsidP="007B1DDB">
      <w:pPr>
        <w:bidi w:val="0"/>
        <w:jc w:val="both"/>
        <w:rPr>
          <w:rFonts w:ascii="Times New Roman" w:hAnsi="Times New Roman" w:cs="Times New Roman"/>
          <w:rtl/>
        </w:rPr>
      </w:pPr>
      <w:r>
        <w:rPr>
          <w:rFonts w:ascii="Times New Roman" w:hAnsi="Times New Roman" w:cs="Times New Roman"/>
        </w:rPr>
        <w:tab/>
        <w:t>While the negligence debate is fierce, both sides tend to share the same assumption—that negligence reflects actual inadvertent behavior and that evidentiary uncertainty is not present.</w:t>
      </w:r>
      <w:r>
        <w:rPr>
          <w:rStyle w:val="FootnoteReference"/>
          <w:rFonts w:ascii="Times New Roman" w:hAnsi="Times New Roman"/>
        </w:rPr>
        <w:footnoteReference w:id="221"/>
      </w:r>
      <w:r>
        <w:rPr>
          <w:rFonts w:ascii="Times New Roman" w:hAnsi="Times New Roman" w:cs="Times New Roman"/>
        </w:rPr>
        <w:t xml:space="preserve"> As a result, this debate tends to focus on hypotheticals in which all the facts are certain, which highlight the challenges of negligence liability. For example, in their discussion on the matter, Professors Larry Alexander and Kimberly Kessler</w:t>
      </w:r>
      <w:r w:rsidR="00BE4254">
        <w:rPr>
          <w:rFonts w:ascii="Times New Roman" w:hAnsi="Times New Roman" w:cs="Times New Roman"/>
        </w:rPr>
        <w:t xml:space="preserve"> </w:t>
      </w:r>
      <w:r>
        <w:rPr>
          <w:rFonts w:ascii="Times New Roman" w:hAnsi="Times New Roman" w:cs="Times New Roman"/>
        </w:rPr>
        <w:t xml:space="preserve">Ferzan present the hypothetical case </w:t>
      </w:r>
      <w:proofErr w:type="gramStart"/>
      <w:r>
        <w:rPr>
          <w:rFonts w:ascii="Times New Roman" w:hAnsi="Times New Roman" w:cs="Times New Roman"/>
        </w:rPr>
        <w:t>of  self</w:t>
      </w:r>
      <w:proofErr w:type="gramEnd"/>
      <w:r>
        <w:rPr>
          <w:rFonts w:ascii="Times New Roman" w:hAnsi="Times New Roman" w:cs="Times New Roman"/>
        </w:rPr>
        <w:t xml:space="preserve">-absorbed yuppie parents who leave their child unattended in the bathtub while going to greet their guests. According to the hypothetical, once the parents greet the guests they </w:t>
      </w:r>
      <w:proofErr w:type="gramStart"/>
      <w:r>
        <w:rPr>
          <w:rFonts w:ascii="Times New Roman" w:hAnsi="Times New Roman" w:cs="Times New Roman"/>
        </w:rPr>
        <w:t>become pre-occupied</w:t>
      </w:r>
      <w:proofErr w:type="gramEnd"/>
      <w:r>
        <w:rPr>
          <w:rFonts w:ascii="Times New Roman" w:hAnsi="Times New Roman" w:cs="Times New Roman"/>
        </w:rPr>
        <w:t xml:space="preserve"> with making a good impression on them and forget about their child</w:t>
      </w:r>
      <w:r w:rsidR="00BE4254">
        <w:rPr>
          <w:rFonts w:ascii="Times New Roman" w:hAnsi="Times New Roman" w:cs="Times New Roman"/>
        </w:rPr>
        <w:t>,</w:t>
      </w:r>
      <w:r>
        <w:rPr>
          <w:rFonts w:ascii="Times New Roman" w:hAnsi="Times New Roman" w:cs="Times New Roman"/>
        </w:rPr>
        <w:t xml:space="preserve"> who drowns to death in the bathtub. Alexander and Kessler</w:t>
      </w:r>
      <w:r w:rsidR="00BE4254">
        <w:rPr>
          <w:rFonts w:ascii="Times New Roman" w:hAnsi="Times New Roman" w:cs="Times New Roman"/>
        </w:rPr>
        <w:t xml:space="preserve"> </w:t>
      </w:r>
      <w:r>
        <w:rPr>
          <w:rFonts w:ascii="Times New Roman" w:hAnsi="Times New Roman" w:cs="Times New Roman"/>
        </w:rPr>
        <w:t>Ferzan carefully analyze this hypothetical and conclude that convicting these parents cannot be justified.</w:t>
      </w:r>
      <w:r>
        <w:rPr>
          <w:rStyle w:val="FootnoteReference"/>
          <w:rFonts w:ascii="Times New Roman" w:hAnsi="Times New Roman"/>
        </w:rPr>
        <w:footnoteReference w:id="222"/>
      </w:r>
      <w:r>
        <w:rPr>
          <w:rFonts w:ascii="Times New Roman" w:hAnsi="Times New Roman" w:cs="Times New Roman"/>
        </w:rPr>
        <w:t xml:space="preserve"> While doing so</w:t>
      </w:r>
      <w:r w:rsidR="00BE4254">
        <w:rPr>
          <w:rFonts w:ascii="Times New Roman" w:hAnsi="Times New Roman" w:cs="Times New Roman"/>
        </w:rPr>
        <w:t>,</w:t>
      </w:r>
      <w:r>
        <w:rPr>
          <w:rFonts w:ascii="Times New Roman" w:hAnsi="Times New Roman" w:cs="Times New Roman"/>
        </w:rPr>
        <w:t xml:space="preserve"> they acknowledge that if the state will be able to prove that the couple “adverted to even the minuscule risk that they would forget about their child in the bath” then it might be able to obtain a conviction based on a theory of recklessness.</w:t>
      </w:r>
      <w:r>
        <w:rPr>
          <w:rStyle w:val="FootnoteReference"/>
          <w:rFonts w:ascii="Times New Roman" w:hAnsi="Times New Roman"/>
        </w:rPr>
        <w:footnoteReference w:id="223"/>
      </w:r>
      <w:r>
        <w:rPr>
          <w:rFonts w:ascii="Times New Roman" w:hAnsi="Times New Roman" w:cs="Times New Roman"/>
        </w:rPr>
        <w:t xml:space="preserve"> Yet they immediately turn back to the hypothetical, with its crisp and clear facts regarding the parents’ state of mind. </w:t>
      </w:r>
      <w:proofErr w:type="gramStart"/>
      <w:r>
        <w:rPr>
          <w:rFonts w:ascii="Times New Roman" w:hAnsi="Times New Roman" w:cs="Times New Roman"/>
        </w:rPr>
        <w:t>Only in a footnote do Alexander and Kessler</w:t>
      </w:r>
      <w:r w:rsidR="00BE4254">
        <w:rPr>
          <w:rFonts w:ascii="Times New Roman" w:hAnsi="Times New Roman" w:cs="Times New Roman"/>
        </w:rPr>
        <w:t xml:space="preserve"> </w:t>
      </w:r>
      <w:r>
        <w:rPr>
          <w:rFonts w:ascii="Times New Roman" w:hAnsi="Times New Roman" w:cs="Times New Roman"/>
        </w:rPr>
        <w:t xml:space="preserve">Ferzan recognize that criminalizing negligence might deter reckless individuals who anticipate evidentiary problems at </w:t>
      </w:r>
      <w:r w:rsidR="00EB5C33">
        <w:rPr>
          <w:rFonts w:ascii="Times New Roman" w:hAnsi="Times New Roman" w:cs="Times New Roman"/>
        </w:rPr>
        <w:t>trial</w:t>
      </w:r>
      <w:r>
        <w:rPr>
          <w:rFonts w:ascii="Times New Roman" w:hAnsi="Times New Roman" w:cs="Times New Roman"/>
        </w:rPr>
        <w:t>,</w:t>
      </w:r>
      <w:r>
        <w:rPr>
          <w:rStyle w:val="FootnoteReference"/>
          <w:rFonts w:ascii="Times New Roman" w:hAnsi="Times New Roman"/>
        </w:rPr>
        <w:footnoteReference w:id="224"/>
      </w:r>
      <w:r>
        <w:rPr>
          <w:rFonts w:ascii="Times New Roman" w:hAnsi="Times New Roman" w:cs="Times New Roman"/>
        </w:rPr>
        <w:t xml:space="preserve"> but they dismiss this point </w:t>
      </w:r>
      <w:r w:rsidR="00EB5C33">
        <w:rPr>
          <w:rFonts w:ascii="Times New Roman" w:hAnsi="Times New Roman" w:cs="Times New Roman"/>
        </w:rPr>
        <w:t xml:space="preserve">because </w:t>
      </w:r>
      <w:r>
        <w:rPr>
          <w:rFonts w:ascii="Times New Roman" w:hAnsi="Times New Roman" w:cs="Times New Roman"/>
        </w:rPr>
        <w:t>it creates a “cost of punishing some who are known or believed to be nonculpable.”</w:t>
      </w:r>
      <w:proofErr w:type="gramEnd"/>
      <w:r>
        <w:rPr>
          <w:rStyle w:val="FootnoteReference"/>
          <w:rFonts w:ascii="Times New Roman" w:hAnsi="Times New Roman"/>
        </w:rPr>
        <w:footnoteReference w:id="225"/>
      </w:r>
      <w:r>
        <w:rPr>
          <w:rFonts w:ascii="Times New Roman" w:hAnsi="Times New Roman" w:cs="Times New Roman"/>
        </w:rPr>
        <w:t xml:space="preserve"> </w:t>
      </w:r>
      <w:r w:rsidR="00426E88">
        <w:rPr>
          <w:rFonts w:ascii="Times New Roman" w:hAnsi="Times New Roman" w:cs="Times New Roman"/>
        </w:rPr>
        <w:t>H</w:t>
      </w:r>
      <w:r w:rsidR="00426E88" w:rsidRPr="00426E88">
        <w:rPr>
          <w:rFonts w:ascii="Times New Roman" w:hAnsi="Times New Roman" w:cs="Times New Roman"/>
        </w:rPr>
        <w:t>owever,</w:t>
      </w:r>
      <w:r w:rsidR="00426E88">
        <w:rPr>
          <w:rFonts w:ascii="Times New Roman" w:hAnsi="Times New Roman" w:cs="Times New Roman"/>
        </w:rPr>
        <w:t xml:space="preserve"> t</w:t>
      </w:r>
      <w:r>
        <w:rPr>
          <w:rFonts w:ascii="Times New Roman" w:hAnsi="Times New Roman" w:cs="Times New Roman"/>
        </w:rPr>
        <w:t xml:space="preserve">his final point ignores the fact that this is precisely the tradeoff that policymakers are required to make when dealing with evidentiary uncertainty. Legal rules that struggle with this issue are required to balance between </w:t>
      </w:r>
      <w:proofErr w:type="gramStart"/>
      <w:r>
        <w:rPr>
          <w:rFonts w:ascii="Times New Roman" w:hAnsi="Times New Roman" w:cs="Times New Roman"/>
        </w:rPr>
        <w:t>type</w:t>
      </w:r>
      <w:proofErr w:type="gramEnd"/>
      <w:r>
        <w:rPr>
          <w:rFonts w:ascii="Times New Roman" w:hAnsi="Times New Roman" w:cs="Times New Roman"/>
        </w:rPr>
        <w:t xml:space="preserve"> 1 and type 2 errors. Any rule that somewhat relaxes the burden of proof will, by design, entail </w:t>
      </w:r>
      <w:r w:rsidR="00426E88">
        <w:rPr>
          <w:rFonts w:ascii="Times New Roman" w:hAnsi="Times New Roman" w:cs="Times New Roman"/>
        </w:rPr>
        <w:t xml:space="preserve">the </w:t>
      </w:r>
      <w:r>
        <w:rPr>
          <w:rFonts w:ascii="Times New Roman" w:hAnsi="Times New Roman" w:cs="Times New Roman"/>
        </w:rPr>
        <w:t xml:space="preserve">cost of convicting additional innocent defendants. That is exactly the balance standing at the core of the rule. </w:t>
      </w:r>
    </w:p>
    <w:p w14:paraId="5759F88D" w14:textId="77777777" w:rsidR="00DB23F8" w:rsidRDefault="00DB23F8" w:rsidP="00152385">
      <w:pPr>
        <w:bidi w:val="0"/>
        <w:jc w:val="both"/>
        <w:rPr>
          <w:rFonts w:ascii="Times New Roman" w:hAnsi="Times New Roman" w:cs="Times New Roman"/>
        </w:rPr>
      </w:pPr>
      <w:r w:rsidRPr="00891B35">
        <w:rPr>
          <w:rFonts w:ascii="Times New Roman" w:hAnsi="Times New Roman" w:cs="Times New Roman"/>
        </w:rPr>
        <w:tab/>
      </w:r>
      <w:r>
        <w:rPr>
          <w:rFonts w:ascii="Times New Roman" w:hAnsi="Times New Roman" w:cs="Times New Roman"/>
        </w:rPr>
        <w:t>The reality of criminal adjudication is, of course, very different from the hypotheticals the literature has dealt with. Somehow, very rarely does a parent who brought about the death of his child take the stand to state that he knowingly risked his child’s life. Rather, a compelling case that focuses on personal grief and the extreme nature of the situation is much more likely. As a result, distinguishing between advertent and inadvertent behavior is often close to impossible, and factfinders face grave uncertainty as to the nature of the defendant’s state of mind. Negligence liability turns a dichotomous decision</w:t>
      </w:r>
      <w:r w:rsidR="00426E88">
        <w:rPr>
          <w:rFonts w:ascii="Times New Roman" w:hAnsi="Times New Roman" w:cs="Times New Roman"/>
        </w:rPr>
        <w:t xml:space="preserve">, </w:t>
      </w:r>
      <w:r>
        <w:rPr>
          <w:rFonts w:ascii="Times New Roman" w:hAnsi="Times New Roman" w:cs="Times New Roman"/>
        </w:rPr>
        <w:t>advertent</w:t>
      </w:r>
      <w:r w:rsidR="00426E88">
        <w:rPr>
          <w:rFonts w:ascii="Times New Roman" w:hAnsi="Times New Roman" w:cs="Times New Roman"/>
        </w:rPr>
        <w:t>/</w:t>
      </w:r>
      <w:r>
        <w:rPr>
          <w:rFonts w:ascii="Times New Roman" w:hAnsi="Times New Roman" w:cs="Times New Roman"/>
        </w:rPr>
        <w:t>guilty vs. inadvertent</w:t>
      </w:r>
      <w:r w:rsidR="00426E88">
        <w:rPr>
          <w:rFonts w:ascii="Times New Roman" w:hAnsi="Times New Roman" w:cs="Times New Roman"/>
        </w:rPr>
        <w:t>/</w:t>
      </w:r>
      <w:r>
        <w:rPr>
          <w:rFonts w:ascii="Times New Roman" w:hAnsi="Times New Roman" w:cs="Times New Roman"/>
        </w:rPr>
        <w:t>not</w:t>
      </w:r>
      <w:r w:rsidR="00426E88">
        <w:rPr>
          <w:rFonts w:ascii="Times New Roman" w:hAnsi="Times New Roman" w:cs="Times New Roman"/>
        </w:rPr>
        <w:t xml:space="preserve"> </w:t>
      </w:r>
      <w:r>
        <w:rPr>
          <w:rFonts w:ascii="Times New Roman" w:hAnsi="Times New Roman" w:cs="Times New Roman"/>
        </w:rPr>
        <w:t>guilty, into a more nuanced decision that can deal with evidentiary uncertainty. When proof beyond a reasonable doubt demonstrat</w:t>
      </w:r>
      <w:r w:rsidR="00426E88">
        <w:rPr>
          <w:rFonts w:ascii="Times New Roman" w:hAnsi="Times New Roman" w:cs="Times New Roman"/>
        </w:rPr>
        <w:t>ing</w:t>
      </w:r>
      <w:r>
        <w:rPr>
          <w:rFonts w:ascii="Times New Roman" w:hAnsi="Times New Roman" w:cs="Times New Roman"/>
        </w:rPr>
        <w:t xml:space="preserve"> that the defendant knowingly took a risk</w:t>
      </w:r>
      <w:r w:rsidR="00152385">
        <w:rPr>
          <w:rFonts w:ascii="Times New Roman" w:hAnsi="Times New Roman" w:cs="Times New Roman"/>
        </w:rPr>
        <w:t xml:space="preserve"> is available</w:t>
      </w:r>
      <w:r>
        <w:rPr>
          <w:rFonts w:ascii="Times New Roman" w:hAnsi="Times New Roman" w:cs="Times New Roman"/>
        </w:rPr>
        <w:t xml:space="preserve">, a determination of (at least) recklessness is in order. In cases in which it seems like the </w:t>
      </w:r>
      <w:r>
        <w:rPr>
          <w:rFonts w:ascii="Times New Roman" w:hAnsi="Times New Roman" w:cs="Times New Roman"/>
        </w:rPr>
        <w:lastRenderedPageBreak/>
        <w:t>defendant knowingly took a risk</w:t>
      </w:r>
      <w:r w:rsidR="00426E88">
        <w:rPr>
          <w:rFonts w:ascii="Times New Roman" w:hAnsi="Times New Roman" w:cs="Times New Roman"/>
        </w:rPr>
        <w:t xml:space="preserve"> but </w:t>
      </w:r>
      <w:r>
        <w:rPr>
          <w:rFonts w:ascii="Times New Roman" w:hAnsi="Times New Roman" w:cs="Times New Roman"/>
        </w:rPr>
        <w:t xml:space="preserve">proof beyond a reasonable doubt is not available, the negligence option comes into play. </w:t>
      </w:r>
    </w:p>
    <w:p w14:paraId="31A1117D" w14:textId="77777777" w:rsidR="00DB23F8" w:rsidRDefault="00DB23F8" w:rsidP="00506BC0">
      <w:pPr>
        <w:bidi w:val="0"/>
        <w:ind w:firstLine="720"/>
        <w:jc w:val="both"/>
        <w:rPr>
          <w:rFonts w:ascii="Times New Roman" w:hAnsi="Times New Roman" w:cs="Times New Roman"/>
        </w:rPr>
      </w:pPr>
      <w:r>
        <w:rPr>
          <w:rFonts w:ascii="Times New Roman" w:hAnsi="Times New Roman" w:cs="Times New Roman"/>
        </w:rPr>
        <w:t xml:space="preserve">Incorporating evidentiary uncertainty into the discussion </w:t>
      </w:r>
      <w:r w:rsidR="00426E88">
        <w:rPr>
          <w:rFonts w:ascii="Times New Roman" w:hAnsi="Times New Roman" w:cs="Times New Roman"/>
        </w:rPr>
        <w:t xml:space="preserve">on </w:t>
      </w:r>
      <w:r>
        <w:rPr>
          <w:rFonts w:ascii="Times New Roman" w:hAnsi="Times New Roman" w:cs="Times New Roman"/>
        </w:rPr>
        <w:t xml:space="preserve">objective standards in criminal law sheds new light on numerous concrete legal debates. </w:t>
      </w:r>
      <w:r w:rsidR="00426E88">
        <w:rPr>
          <w:rFonts w:ascii="Times New Roman" w:hAnsi="Times New Roman" w:cs="Times New Roman"/>
        </w:rPr>
        <w:t>F</w:t>
      </w:r>
      <w:r>
        <w:rPr>
          <w:rFonts w:ascii="Times New Roman" w:hAnsi="Times New Roman" w:cs="Times New Roman"/>
        </w:rPr>
        <w:t xml:space="preserve">or example, </w:t>
      </w:r>
      <w:r w:rsidR="00426E88">
        <w:rPr>
          <w:rFonts w:ascii="Times New Roman" w:hAnsi="Times New Roman" w:cs="Times New Roman"/>
        </w:rPr>
        <w:t xml:space="preserve">take </w:t>
      </w:r>
      <w:r>
        <w:rPr>
          <w:rFonts w:ascii="Times New Roman" w:hAnsi="Times New Roman" w:cs="Times New Roman"/>
        </w:rPr>
        <w:t xml:space="preserve">the ongoing discussion in Anglo-American jurisdictions </w:t>
      </w:r>
      <w:r w:rsidR="00426E88">
        <w:rPr>
          <w:rFonts w:ascii="Times New Roman" w:hAnsi="Times New Roman" w:cs="Times New Roman"/>
        </w:rPr>
        <w:t xml:space="preserve">about </w:t>
      </w:r>
      <w:r>
        <w:rPr>
          <w:rFonts w:ascii="Times New Roman" w:hAnsi="Times New Roman" w:cs="Times New Roman"/>
        </w:rPr>
        <w:t xml:space="preserve">whether an objective standard </w:t>
      </w:r>
      <w:proofErr w:type="gramStart"/>
      <w:r>
        <w:rPr>
          <w:rFonts w:ascii="Times New Roman" w:hAnsi="Times New Roman" w:cs="Times New Roman"/>
        </w:rPr>
        <w:t>should be applied</w:t>
      </w:r>
      <w:proofErr w:type="gramEnd"/>
      <w:r>
        <w:rPr>
          <w:rFonts w:ascii="Times New Roman" w:hAnsi="Times New Roman" w:cs="Times New Roman"/>
        </w:rPr>
        <w:t xml:space="preserve"> to the defendant’s state of mind regarding lack of consent in rape cases.</w:t>
      </w:r>
      <w:bookmarkStart w:id="60" w:name="_Ref438980441"/>
      <w:r>
        <w:rPr>
          <w:rStyle w:val="FootnoteReference"/>
          <w:rFonts w:ascii="Times New Roman" w:hAnsi="Times New Roman"/>
        </w:rPr>
        <w:footnoteReference w:id="226"/>
      </w:r>
      <w:bookmarkEnd w:id="60"/>
      <w:r>
        <w:rPr>
          <w:rFonts w:ascii="Times New Roman" w:hAnsi="Times New Roman" w:cs="Times New Roman"/>
        </w:rPr>
        <w:t xml:space="preserve"> Regulating sex through criminal law is a tricky task. On one hand, the protected interests at hand are of great importance, and as a result convicting those who are truly guilty of sex crimes is a necessity for any well-functioning criminal justice system. On the other hand, sex is a socially desirable activity, and drawing the line between permissible and </w:t>
      </w:r>
      <w:r w:rsidR="00CF3B41">
        <w:rPr>
          <w:rFonts w:ascii="Times New Roman" w:hAnsi="Times New Roman" w:cs="Times New Roman"/>
        </w:rPr>
        <w:t>impermissible</w:t>
      </w:r>
      <w:r>
        <w:rPr>
          <w:rFonts w:ascii="Times New Roman" w:hAnsi="Times New Roman" w:cs="Times New Roman"/>
        </w:rPr>
        <w:t xml:space="preserve"> acts entails a significant risk of punishing the innocent. </w:t>
      </w:r>
      <w:r w:rsidR="00426E88">
        <w:rPr>
          <w:rFonts w:ascii="Times New Roman" w:hAnsi="Times New Roman" w:cs="Times New Roman"/>
        </w:rPr>
        <w:t>Therefore</w:t>
      </w:r>
      <w:r>
        <w:rPr>
          <w:rFonts w:ascii="Times New Roman" w:hAnsi="Times New Roman" w:cs="Times New Roman"/>
        </w:rPr>
        <w:t>, policymakers aim to both punish sex offenders and avoid the chilling effect created by punishing non-culpable sexual activity. The definition of rape and the grading of different types of rape can play an important role in this regard.</w:t>
      </w:r>
    </w:p>
    <w:p w14:paraId="0B28C134" w14:textId="77777777" w:rsidR="00DB23F8" w:rsidRDefault="00DB23F8" w:rsidP="00BB7366">
      <w:pPr>
        <w:bidi w:val="0"/>
        <w:ind w:firstLine="720"/>
        <w:jc w:val="both"/>
        <w:rPr>
          <w:rFonts w:ascii="Times New Roman" w:hAnsi="Times New Roman" w:cs="Times New Roman"/>
        </w:rPr>
      </w:pPr>
      <w:r>
        <w:rPr>
          <w:rFonts w:ascii="Times New Roman" w:hAnsi="Times New Roman" w:cs="Times New Roman"/>
        </w:rPr>
        <w:t>In many cases of alleged acquaintance</w:t>
      </w:r>
      <w:r w:rsidR="00426E88">
        <w:rPr>
          <w:rFonts w:ascii="Times New Roman" w:hAnsi="Times New Roman" w:cs="Times New Roman"/>
        </w:rPr>
        <w:t xml:space="preserve"> </w:t>
      </w:r>
      <w:r>
        <w:rPr>
          <w:rFonts w:ascii="Times New Roman" w:hAnsi="Times New Roman" w:cs="Times New Roman"/>
        </w:rPr>
        <w:t>rape, the defendant claims that he truly believed that sex was consensual and th</w:t>
      </w:r>
      <w:r w:rsidR="00426E88">
        <w:rPr>
          <w:rFonts w:ascii="Times New Roman" w:hAnsi="Times New Roman" w:cs="Times New Roman"/>
        </w:rPr>
        <w:t>erefore</w:t>
      </w:r>
      <w:r>
        <w:rPr>
          <w:rFonts w:ascii="Times New Roman" w:hAnsi="Times New Roman" w:cs="Times New Roman"/>
        </w:rPr>
        <w:t xml:space="preserve"> </w:t>
      </w:r>
      <w:proofErr w:type="gramStart"/>
      <w:r>
        <w:rPr>
          <w:rFonts w:ascii="Times New Roman" w:hAnsi="Times New Roman" w:cs="Times New Roman"/>
        </w:rPr>
        <w:t>should not be branded</w:t>
      </w:r>
      <w:proofErr w:type="gramEnd"/>
      <w:r>
        <w:rPr>
          <w:rFonts w:ascii="Times New Roman" w:hAnsi="Times New Roman" w:cs="Times New Roman"/>
        </w:rPr>
        <w:t xml:space="preserve"> a rapist.</w:t>
      </w:r>
      <w:bookmarkStart w:id="61" w:name="_Ref438764778"/>
      <w:r>
        <w:rPr>
          <w:rStyle w:val="FootnoteReference"/>
          <w:rFonts w:ascii="Times New Roman" w:hAnsi="Times New Roman"/>
        </w:rPr>
        <w:footnoteReference w:id="227"/>
      </w:r>
      <w:bookmarkEnd w:id="61"/>
      <w:r>
        <w:rPr>
          <w:rFonts w:ascii="Times New Roman" w:hAnsi="Times New Roman" w:cs="Times New Roman"/>
        </w:rPr>
        <w:t xml:space="preserve"> Jurists have been debating what the proper treatment of such defendants is. Some have argued that </w:t>
      </w:r>
      <w:r w:rsidR="00426E88">
        <w:rPr>
          <w:rFonts w:ascii="Times New Roman" w:hAnsi="Times New Roman" w:cs="Times New Roman"/>
        </w:rPr>
        <w:t xml:space="preserve">because </w:t>
      </w:r>
      <w:r>
        <w:rPr>
          <w:rFonts w:ascii="Times New Roman" w:hAnsi="Times New Roman" w:cs="Times New Roman"/>
        </w:rPr>
        <w:t>criminal law focuses on the culpability of the offender, it is impermissible to punish someone who made an honest mistake as to consent</w:t>
      </w:r>
      <w:r w:rsidR="00426E88">
        <w:rPr>
          <w:rFonts w:ascii="Times New Roman" w:hAnsi="Times New Roman" w:cs="Times New Roman"/>
        </w:rPr>
        <w:t>,</w:t>
      </w:r>
      <w:r>
        <w:rPr>
          <w:rFonts w:ascii="Times New Roman" w:hAnsi="Times New Roman" w:cs="Times New Roman"/>
        </w:rPr>
        <w:t xml:space="preserve"> even if that mistake was unreasonable.</w:t>
      </w:r>
      <w:r>
        <w:rPr>
          <w:rStyle w:val="FootnoteReference"/>
          <w:rFonts w:ascii="Times New Roman" w:hAnsi="Times New Roman"/>
        </w:rPr>
        <w:footnoteReference w:id="228"/>
      </w:r>
      <w:r>
        <w:rPr>
          <w:rFonts w:ascii="Times New Roman" w:hAnsi="Times New Roman" w:cs="Times New Roman"/>
        </w:rPr>
        <w:t xml:space="preserve"> Others</w:t>
      </w:r>
      <w:r w:rsidR="00CF3B41">
        <w:rPr>
          <w:rFonts w:ascii="Times New Roman" w:hAnsi="Times New Roman" w:cs="Times New Roman"/>
        </w:rPr>
        <w:t xml:space="preserve"> </w:t>
      </w:r>
      <w:r>
        <w:rPr>
          <w:rFonts w:ascii="Times New Roman" w:hAnsi="Times New Roman" w:cs="Times New Roman"/>
        </w:rPr>
        <w:t xml:space="preserve">have stressed the need to </w:t>
      </w:r>
      <w:r w:rsidRPr="004B51BC">
        <w:rPr>
          <w:rFonts w:ascii="Times New Roman" w:hAnsi="Times New Roman" w:cs="Times New Roman"/>
        </w:rPr>
        <w:t>focus on the victim’s state of mind and on denying offenders the possibility of annulling criminal liability by simply ignoring victims.</w:t>
      </w:r>
      <w:bookmarkStart w:id="62" w:name="_Ref437365722"/>
      <w:r w:rsidRPr="004B51BC">
        <w:rPr>
          <w:rStyle w:val="FootnoteReference"/>
          <w:rFonts w:ascii="Times New Roman" w:hAnsi="Times New Roman"/>
        </w:rPr>
        <w:footnoteReference w:id="229"/>
      </w:r>
      <w:bookmarkEnd w:id="62"/>
      <w:r>
        <w:rPr>
          <w:rFonts w:ascii="Times New Roman" w:hAnsi="Times New Roman" w:cs="Times New Roman"/>
        </w:rPr>
        <w:t xml:space="preserve"> For the most part</w:t>
      </w:r>
      <w:r w:rsidR="00CF3B41">
        <w:rPr>
          <w:rFonts w:ascii="Times New Roman" w:hAnsi="Times New Roman" w:cs="Times New Roman"/>
        </w:rPr>
        <w:t>,</w:t>
      </w:r>
      <w:r>
        <w:rPr>
          <w:rFonts w:ascii="Times New Roman" w:hAnsi="Times New Roman" w:cs="Times New Roman"/>
        </w:rPr>
        <w:t xml:space="preserve"> this debate has assumed factual clarity</w:t>
      </w:r>
      <w:r>
        <w:rPr>
          <w:rStyle w:val="FootnoteReference"/>
          <w:rFonts w:ascii="Times New Roman" w:hAnsi="Times New Roman"/>
        </w:rPr>
        <w:footnoteReference w:id="230"/>
      </w:r>
      <w:r>
        <w:rPr>
          <w:rFonts w:ascii="Times New Roman" w:hAnsi="Times New Roman" w:cs="Times New Roman"/>
        </w:rPr>
        <w:t xml:space="preserve"> and presumed that the negligent rapist is truly unaware of lack of consent. Inserting evidentiary uncertainty into the debate presents an additional powerful argument in favor of negligence-based rape. </w:t>
      </w:r>
    </w:p>
    <w:p w14:paraId="3588A4BC" w14:textId="77777777" w:rsidR="00DB23F8" w:rsidRDefault="00DB23F8" w:rsidP="00DC53C2">
      <w:pPr>
        <w:bidi w:val="0"/>
        <w:ind w:firstLine="720"/>
        <w:jc w:val="both"/>
        <w:rPr>
          <w:rFonts w:ascii="Times New Roman" w:hAnsi="Times New Roman" w:cs="Times New Roman"/>
        </w:rPr>
      </w:pPr>
      <w:r>
        <w:rPr>
          <w:rFonts w:ascii="Times New Roman" w:hAnsi="Times New Roman" w:cs="Times New Roman"/>
        </w:rPr>
        <w:t xml:space="preserve">It is extremely easy to present a mistake of fact defense in virtually all non-violent acquaintance rape cases. Such a defense does not even require the defendant to enter the dangerous realm of he-said-she-said adjudication, </w:t>
      </w:r>
      <w:r w:rsidR="00CF3B41">
        <w:rPr>
          <w:rFonts w:ascii="Times New Roman" w:hAnsi="Times New Roman" w:cs="Times New Roman"/>
        </w:rPr>
        <w:t xml:space="preserve">as </w:t>
      </w:r>
      <w:r>
        <w:rPr>
          <w:rFonts w:ascii="Times New Roman" w:hAnsi="Times New Roman" w:cs="Times New Roman"/>
        </w:rPr>
        <w:t xml:space="preserve">it accepts the victim’s version as true and only adds another dimension to the event in dispute, which only the defendant can attest to. As a result, this defense could easily raise reasonable doubt with respect to the defendant’s guilt and bring about the release of many guilty individuals. Lowering the </w:t>
      </w:r>
      <w:proofErr w:type="spellStart"/>
      <w:r>
        <w:rPr>
          <w:rFonts w:ascii="Times New Roman" w:hAnsi="Times New Roman" w:cs="Times New Roman"/>
        </w:rPr>
        <w:t>mens</w:t>
      </w:r>
      <w:proofErr w:type="spellEnd"/>
      <w:r>
        <w:rPr>
          <w:rFonts w:ascii="Times New Roman" w:hAnsi="Times New Roman" w:cs="Times New Roman"/>
        </w:rPr>
        <w:t xml:space="preserve"> rea of rape to negligence enables the criminal justice system to bypass the need to ascertain the defendant’s precise mental state beyond a reasonable doubt and thus allows it to convict more guilty individuals. When the evidence is sufficiently suspicious to suggest that the defendant probably </w:t>
      </w:r>
      <w:r>
        <w:rPr>
          <w:rFonts w:ascii="Times New Roman" w:hAnsi="Times New Roman" w:cs="Times New Roman"/>
        </w:rPr>
        <w:lastRenderedPageBreak/>
        <w:t xml:space="preserve">knew (or at least suspected) that consent was absent, a finding of negligence with respect to consent can capture the evidentiary picture. </w:t>
      </w:r>
    </w:p>
    <w:p w14:paraId="562486A7" w14:textId="749E3C5C" w:rsidR="00DB23F8" w:rsidRDefault="00DB23F8" w:rsidP="007C52B7">
      <w:pPr>
        <w:bidi w:val="0"/>
        <w:ind w:firstLine="720"/>
        <w:jc w:val="both"/>
        <w:rPr>
          <w:rFonts w:ascii="Times New Roman" w:hAnsi="Times New Roman" w:cs="Times New Roman"/>
        </w:rPr>
      </w:pPr>
      <w:r>
        <w:rPr>
          <w:rFonts w:ascii="Times New Roman" w:hAnsi="Times New Roman" w:cs="Times New Roman"/>
        </w:rPr>
        <w:t xml:space="preserve">To be sure, unlike the case of homicide in which jurisdictions enact a graded scale of </w:t>
      </w:r>
      <w:r w:rsidR="00296EC3">
        <w:rPr>
          <w:rFonts w:ascii="Times New Roman" w:hAnsi="Times New Roman" w:cs="Times New Roman"/>
        </w:rPr>
        <w:t>offenses</w:t>
      </w:r>
      <w:r>
        <w:rPr>
          <w:rFonts w:ascii="Times New Roman" w:hAnsi="Times New Roman" w:cs="Times New Roman"/>
        </w:rPr>
        <w:t xml:space="preserve"> that enable </w:t>
      </w:r>
      <w:r w:rsidR="00CF3B41">
        <w:rPr>
          <w:rFonts w:ascii="Times New Roman" w:hAnsi="Times New Roman" w:cs="Times New Roman"/>
        </w:rPr>
        <w:t xml:space="preserve">the </w:t>
      </w:r>
      <w:r>
        <w:rPr>
          <w:rFonts w:ascii="Times New Roman" w:hAnsi="Times New Roman" w:cs="Times New Roman"/>
        </w:rPr>
        <w:t>calibrat</w:t>
      </w:r>
      <w:r w:rsidR="00CF3B41">
        <w:rPr>
          <w:rFonts w:ascii="Times New Roman" w:hAnsi="Times New Roman" w:cs="Times New Roman"/>
        </w:rPr>
        <w:t xml:space="preserve">ion of </w:t>
      </w:r>
      <w:r>
        <w:rPr>
          <w:rFonts w:ascii="Times New Roman" w:hAnsi="Times New Roman" w:cs="Times New Roman"/>
        </w:rPr>
        <w:t xml:space="preserve">penalties upwards as more inculpating evidence </w:t>
      </w:r>
      <w:proofErr w:type="gramStart"/>
      <w:r>
        <w:rPr>
          <w:rFonts w:ascii="Times New Roman" w:hAnsi="Times New Roman" w:cs="Times New Roman"/>
        </w:rPr>
        <w:t>is presented</w:t>
      </w:r>
      <w:proofErr w:type="gramEnd"/>
      <w:r>
        <w:rPr>
          <w:rFonts w:ascii="Times New Roman" w:hAnsi="Times New Roman" w:cs="Times New Roman"/>
        </w:rPr>
        <w:t xml:space="preserve">, jurisdictions do not grade rape in the same manner. Rather, jurisdictions routinely establish a minimal threshold to the offense (usually recklessness </w:t>
      </w:r>
      <w:r w:rsidRPr="00403038">
        <w:rPr>
          <w:rFonts w:ascii="Times New Roman" w:hAnsi="Times New Roman" w:cs="Times New Roman"/>
          <w:i/>
          <w:iCs/>
        </w:rPr>
        <w:t>or</w:t>
      </w:r>
      <w:r>
        <w:rPr>
          <w:rFonts w:ascii="Times New Roman" w:hAnsi="Times New Roman" w:cs="Times New Roman"/>
        </w:rPr>
        <w:t xml:space="preserve"> negligence) and apply it to </w:t>
      </w:r>
      <w:r w:rsidRPr="00B14E26">
        <w:rPr>
          <w:rFonts w:ascii="Times New Roman" w:hAnsi="Times New Roman" w:cs="Times New Roman"/>
          <w:i/>
          <w:iCs/>
        </w:rPr>
        <w:t>all</w:t>
      </w:r>
      <w:r>
        <w:rPr>
          <w:rFonts w:ascii="Times New Roman" w:hAnsi="Times New Roman" w:cs="Times New Roman"/>
        </w:rPr>
        <w:t xml:space="preserve"> rape cases.</w:t>
      </w:r>
      <w:r>
        <w:rPr>
          <w:rStyle w:val="FootnoteReference"/>
          <w:rFonts w:ascii="Times New Roman" w:hAnsi="Times New Roman"/>
        </w:rPr>
        <w:footnoteReference w:id="231"/>
      </w:r>
      <w:r>
        <w:rPr>
          <w:rFonts w:ascii="Times New Roman" w:hAnsi="Times New Roman" w:cs="Times New Roman"/>
        </w:rPr>
        <w:t xml:space="preserve"> Viewed from an evidentiary perspective, grading rape and using different mental states to distinguish between distinct levels of certainty could help </w:t>
      </w:r>
      <w:r w:rsidR="00114061">
        <w:rPr>
          <w:rFonts w:ascii="Times New Roman" w:hAnsi="Times New Roman" w:cs="Times New Roman"/>
        </w:rPr>
        <w:t xml:space="preserve">improve </w:t>
      </w:r>
      <w:r>
        <w:rPr>
          <w:rFonts w:ascii="Times New Roman" w:hAnsi="Times New Roman" w:cs="Times New Roman"/>
        </w:rPr>
        <w:t xml:space="preserve">the accuracy of the criminal process. Whereas the elevated crime that entails a subjective </w:t>
      </w:r>
      <w:proofErr w:type="spellStart"/>
      <w:r>
        <w:rPr>
          <w:rFonts w:ascii="Times New Roman" w:hAnsi="Times New Roman" w:cs="Times New Roman"/>
        </w:rPr>
        <w:t>mens</w:t>
      </w:r>
      <w:proofErr w:type="spellEnd"/>
      <w:r>
        <w:rPr>
          <w:rFonts w:ascii="Times New Roman" w:hAnsi="Times New Roman" w:cs="Times New Roman"/>
        </w:rPr>
        <w:t xml:space="preserve"> rea </w:t>
      </w:r>
      <w:proofErr w:type="gramStart"/>
      <w:r>
        <w:rPr>
          <w:rFonts w:ascii="Times New Roman" w:hAnsi="Times New Roman" w:cs="Times New Roman"/>
        </w:rPr>
        <w:t>will be reserved</w:t>
      </w:r>
      <w:proofErr w:type="gramEnd"/>
      <w:r>
        <w:rPr>
          <w:rFonts w:ascii="Times New Roman" w:hAnsi="Times New Roman" w:cs="Times New Roman"/>
        </w:rPr>
        <w:t xml:space="preserve"> for those whose guilt </w:t>
      </w:r>
      <w:r w:rsidR="00114061">
        <w:rPr>
          <w:rFonts w:ascii="Times New Roman" w:hAnsi="Times New Roman" w:cs="Times New Roman"/>
        </w:rPr>
        <w:t xml:space="preserve">has been </w:t>
      </w:r>
      <w:r>
        <w:rPr>
          <w:rFonts w:ascii="Times New Roman" w:hAnsi="Times New Roman" w:cs="Times New Roman"/>
        </w:rPr>
        <w:t>proven beyond a reasonable doubt, negligence</w:t>
      </w:r>
      <w:r w:rsidR="00114061">
        <w:rPr>
          <w:rFonts w:ascii="Times New Roman" w:hAnsi="Times New Roman" w:cs="Times New Roman"/>
        </w:rPr>
        <w:t xml:space="preserve"> </w:t>
      </w:r>
      <w:r>
        <w:rPr>
          <w:rFonts w:ascii="Times New Roman" w:hAnsi="Times New Roman" w:cs="Times New Roman"/>
        </w:rPr>
        <w:t>rape will be used in case</w:t>
      </w:r>
      <w:r w:rsidR="00114061">
        <w:rPr>
          <w:rFonts w:ascii="Times New Roman" w:hAnsi="Times New Roman" w:cs="Times New Roman"/>
        </w:rPr>
        <w:t>s</w:t>
      </w:r>
      <w:r>
        <w:rPr>
          <w:rFonts w:ascii="Times New Roman" w:hAnsi="Times New Roman" w:cs="Times New Roman"/>
        </w:rPr>
        <w:t xml:space="preserve"> in which some doubt </w:t>
      </w:r>
      <w:r w:rsidR="00114061">
        <w:rPr>
          <w:rFonts w:ascii="Times New Roman" w:hAnsi="Times New Roman" w:cs="Times New Roman"/>
        </w:rPr>
        <w:t>remains</w:t>
      </w:r>
      <w:r>
        <w:rPr>
          <w:rFonts w:ascii="Times New Roman" w:hAnsi="Times New Roman" w:cs="Times New Roman"/>
        </w:rPr>
        <w:t>.</w:t>
      </w:r>
      <w:r>
        <w:rPr>
          <w:rStyle w:val="FootnoteReference"/>
          <w:rFonts w:ascii="Times New Roman" w:hAnsi="Times New Roman"/>
        </w:rPr>
        <w:footnoteReference w:id="232"/>
      </w:r>
      <w:r>
        <w:rPr>
          <w:rFonts w:ascii="Times New Roman" w:hAnsi="Times New Roman" w:cs="Times New Roman"/>
        </w:rPr>
        <w:t xml:space="preserve"> </w:t>
      </w:r>
    </w:p>
    <w:p w14:paraId="524EA403" w14:textId="31070D9B" w:rsidR="00DB23F8" w:rsidRPr="0014083A" w:rsidRDefault="00DB23F8" w:rsidP="008A103C">
      <w:pPr>
        <w:bidi w:val="0"/>
        <w:ind w:firstLine="720"/>
        <w:jc w:val="both"/>
        <w:rPr>
          <w:rFonts w:ascii="Times New Roman" w:hAnsi="Times New Roman" w:cs="Times New Roman"/>
        </w:rPr>
      </w:pPr>
      <w:r>
        <w:rPr>
          <w:rFonts w:ascii="Times New Roman" w:hAnsi="Times New Roman" w:cs="Times New Roman"/>
        </w:rPr>
        <w:t>That said</w:t>
      </w:r>
      <w:proofErr w:type="gramStart"/>
      <w:r>
        <w:rPr>
          <w:rFonts w:ascii="Times New Roman" w:hAnsi="Times New Roman" w:cs="Times New Roman"/>
        </w:rPr>
        <w:t>,</w:t>
      </w:r>
      <w:proofErr w:type="gramEnd"/>
      <w:r>
        <w:rPr>
          <w:rFonts w:ascii="Times New Roman" w:hAnsi="Times New Roman" w:cs="Times New Roman"/>
        </w:rPr>
        <w:t xml:space="preserve"> the concept of evidentiary grading is not alien to rape law. Past codifications of the offense were sensitive to evidentiary considerations through the objective elements of the crime and graded punishment in accordance with the level of certainty. The marital exemption </w:t>
      </w:r>
      <w:r w:rsidR="008A103C">
        <w:rPr>
          <w:rFonts w:ascii="Times New Roman" w:hAnsi="Times New Roman" w:cs="Times New Roman"/>
        </w:rPr>
        <w:t>illustrates this point</w:t>
      </w:r>
      <w:r>
        <w:rPr>
          <w:rFonts w:ascii="Times New Roman" w:hAnsi="Times New Roman" w:cs="Times New Roman"/>
        </w:rPr>
        <w:t xml:space="preserve">, as the perceived heightened risk of error led </w:t>
      </w:r>
      <w:proofErr w:type="gramStart"/>
      <w:r>
        <w:rPr>
          <w:rFonts w:ascii="Times New Roman" w:hAnsi="Times New Roman" w:cs="Times New Roman"/>
        </w:rPr>
        <w:t>to more lenient policies towards husbands who raped their wives</w:t>
      </w:r>
      <w:proofErr w:type="gramEnd"/>
      <w:r>
        <w:rPr>
          <w:rFonts w:ascii="Times New Roman" w:hAnsi="Times New Roman" w:cs="Times New Roman"/>
        </w:rPr>
        <w:t>.</w:t>
      </w:r>
      <w:r>
        <w:rPr>
          <w:rStyle w:val="FootnoteReference"/>
          <w:rFonts w:ascii="Times New Roman" w:hAnsi="Times New Roman"/>
        </w:rPr>
        <w:footnoteReference w:id="233"/>
      </w:r>
      <w:r>
        <w:rPr>
          <w:rFonts w:ascii="Times New Roman" w:hAnsi="Times New Roman" w:cs="Times New Roman"/>
        </w:rPr>
        <w:t xml:space="preserve"> As time passed and the empirical assertion at the base of this exemption eroded (along with other normative premises it depended on),</w:t>
      </w:r>
      <w:r>
        <w:rPr>
          <w:rStyle w:val="FootnoteReference"/>
          <w:rFonts w:ascii="Times New Roman" w:hAnsi="Times New Roman"/>
        </w:rPr>
        <w:footnoteReference w:id="234"/>
      </w:r>
      <w:r>
        <w:rPr>
          <w:rFonts w:ascii="Times New Roman" w:hAnsi="Times New Roman" w:cs="Times New Roman"/>
        </w:rPr>
        <w:t xml:space="preserve"> the legal terrain in the area of rape law shifted. Given the relatively unstable state of rape law and the tremendous reforms this body of law has recently gone through,</w:t>
      </w:r>
      <w:r>
        <w:rPr>
          <w:rStyle w:val="FootnoteReference"/>
          <w:rFonts w:ascii="Times New Roman" w:hAnsi="Times New Roman"/>
        </w:rPr>
        <w:footnoteReference w:id="235"/>
      </w:r>
      <w:r>
        <w:rPr>
          <w:rFonts w:ascii="Times New Roman" w:hAnsi="Times New Roman" w:cs="Times New Roman"/>
        </w:rPr>
        <w:t xml:space="preserve"> the possibility of graded rape </w:t>
      </w:r>
      <w:r w:rsidR="00296EC3">
        <w:rPr>
          <w:rFonts w:ascii="Times New Roman" w:hAnsi="Times New Roman" w:cs="Times New Roman"/>
        </w:rPr>
        <w:t>offenses</w:t>
      </w:r>
      <w:r>
        <w:rPr>
          <w:rFonts w:ascii="Times New Roman" w:hAnsi="Times New Roman" w:cs="Times New Roman"/>
        </w:rPr>
        <w:t xml:space="preserve"> based on different states of mind seems like a plausible way in which the law might evolve in the coming years.</w:t>
      </w:r>
      <w:r>
        <w:rPr>
          <w:rStyle w:val="FootnoteReference"/>
          <w:rFonts w:ascii="Times New Roman" w:hAnsi="Times New Roman"/>
        </w:rPr>
        <w:footnoteReference w:id="236"/>
      </w:r>
    </w:p>
    <w:p w14:paraId="2DF6DDC9" w14:textId="77777777" w:rsidR="00DB23F8" w:rsidRPr="0014083A" w:rsidRDefault="00DB23F8" w:rsidP="00651550">
      <w:pPr>
        <w:bidi w:val="0"/>
        <w:ind w:firstLine="720"/>
        <w:jc w:val="both"/>
        <w:rPr>
          <w:rFonts w:ascii="Times New Roman" w:hAnsi="Times New Roman" w:cs="Times New Roman"/>
        </w:rPr>
      </w:pPr>
      <w:r w:rsidRPr="0014083A">
        <w:rPr>
          <w:rFonts w:ascii="Times New Roman" w:hAnsi="Times New Roman" w:cs="Times New Roman"/>
        </w:rPr>
        <w:t xml:space="preserve">The evidentiary theory of negligence also sheds light on the ongoing debate regarding the individualization of the negligence standard in criminal law. This debate has focused on whether negligence </w:t>
      </w:r>
      <w:proofErr w:type="gramStart"/>
      <w:r w:rsidRPr="0014083A">
        <w:rPr>
          <w:rFonts w:ascii="Times New Roman" w:hAnsi="Times New Roman" w:cs="Times New Roman"/>
        </w:rPr>
        <w:t>should be defined</w:t>
      </w:r>
      <w:proofErr w:type="gramEnd"/>
      <w:r w:rsidRPr="0014083A">
        <w:rPr>
          <w:rFonts w:ascii="Times New Roman" w:hAnsi="Times New Roman" w:cs="Times New Roman"/>
        </w:rPr>
        <w:t xml:space="preserve"> objectively as a uniform standard applicable to all or </w:t>
      </w:r>
      <w:r w:rsidRPr="0014083A">
        <w:rPr>
          <w:rFonts w:ascii="Times New Roman" w:hAnsi="Times New Roman" w:cs="Times New Roman"/>
        </w:rPr>
        <w:lastRenderedPageBreak/>
        <w:t xml:space="preserve">subjectively as an individual standard attuned to the unique characteristics of the parties at hand. In other words, should the law account for attributes such as the defendant’s intelligence, physical capabilities, sex, age, etc. when determining whether they </w:t>
      </w:r>
      <w:r>
        <w:rPr>
          <w:rFonts w:ascii="Times New Roman" w:hAnsi="Times New Roman" w:cs="Times New Roman"/>
        </w:rPr>
        <w:t xml:space="preserve">violated their obligation to </w:t>
      </w:r>
      <w:r w:rsidRPr="0014083A">
        <w:rPr>
          <w:rFonts w:ascii="Times New Roman" w:hAnsi="Times New Roman" w:cs="Times New Roman"/>
        </w:rPr>
        <w:t>behave reasonably. On one side of this debate stand those who argue that negligence is a purely objective standard that defines the boundaries of permissible conduct in society.</w:t>
      </w:r>
      <w:r w:rsidRPr="0014083A">
        <w:rPr>
          <w:rStyle w:val="FootnoteReference"/>
          <w:rFonts w:ascii="Times New Roman" w:hAnsi="Times New Roman"/>
        </w:rPr>
        <w:footnoteReference w:id="237"/>
      </w:r>
      <w:r w:rsidRPr="0014083A">
        <w:rPr>
          <w:rFonts w:ascii="Times New Roman" w:hAnsi="Times New Roman" w:cs="Times New Roman"/>
        </w:rPr>
        <w:t xml:space="preserve"> On the other side of the debate </w:t>
      </w:r>
      <w:proofErr w:type="gramStart"/>
      <w:r w:rsidRPr="0014083A">
        <w:rPr>
          <w:rFonts w:ascii="Times New Roman" w:hAnsi="Times New Roman" w:cs="Times New Roman"/>
        </w:rPr>
        <w:t>stand</w:t>
      </w:r>
      <w:proofErr w:type="gramEnd"/>
      <w:r w:rsidRPr="0014083A">
        <w:rPr>
          <w:rFonts w:ascii="Times New Roman" w:hAnsi="Times New Roman" w:cs="Times New Roman"/>
        </w:rPr>
        <w:t xml:space="preserve"> those who focus on the defendant’s culpability and </w:t>
      </w:r>
      <w:r w:rsidR="00F36FF8">
        <w:rPr>
          <w:rFonts w:ascii="Times New Roman" w:hAnsi="Times New Roman" w:cs="Times New Roman"/>
        </w:rPr>
        <w:t>therefore</w:t>
      </w:r>
      <w:r w:rsidRPr="0014083A">
        <w:rPr>
          <w:rFonts w:ascii="Times New Roman" w:hAnsi="Times New Roman" w:cs="Times New Roman"/>
        </w:rPr>
        <w:t xml:space="preserve"> argue that criminal negligence should be judged in light of the defendant’s capabilities.</w:t>
      </w:r>
      <w:r w:rsidRPr="0014083A">
        <w:rPr>
          <w:rStyle w:val="FootnoteReference"/>
          <w:rFonts w:ascii="Times New Roman" w:hAnsi="Times New Roman"/>
        </w:rPr>
        <w:footnoteReference w:id="238"/>
      </w:r>
      <w:r w:rsidRPr="0014083A">
        <w:rPr>
          <w:rFonts w:ascii="Times New Roman" w:hAnsi="Times New Roman" w:cs="Times New Roman"/>
        </w:rPr>
        <w:t xml:space="preserve"> In the United States</w:t>
      </w:r>
      <w:r w:rsidR="00F36FF8">
        <w:rPr>
          <w:rFonts w:ascii="Times New Roman" w:hAnsi="Times New Roman" w:cs="Times New Roman"/>
        </w:rPr>
        <w:t>,</w:t>
      </w:r>
      <w:r w:rsidRPr="0014083A">
        <w:rPr>
          <w:rFonts w:ascii="Times New Roman" w:hAnsi="Times New Roman" w:cs="Times New Roman"/>
        </w:rPr>
        <w:t xml:space="preserve"> the Model Penal Code takes a somewhat ambiguous stand on this point,</w:t>
      </w:r>
      <w:r w:rsidRPr="0014083A">
        <w:rPr>
          <w:rStyle w:val="FootnoteReference"/>
          <w:rFonts w:ascii="Times New Roman" w:hAnsi="Times New Roman"/>
        </w:rPr>
        <w:footnoteReference w:id="239"/>
      </w:r>
      <w:r w:rsidRPr="0014083A">
        <w:rPr>
          <w:rFonts w:ascii="Times New Roman" w:hAnsi="Times New Roman" w:cs="Times New Roman"/>
        </w:rPr>
        <w:t xml:space="preserve"> and cases </w:t>
      </w:r>
      <w:proofErr w:type="gramStart"/>
      <w:r w:rsidRPr="0014083A">
        <w:rPr>
          <w:rFonts w:ascii="Times New Roman" w:hAnsi="Times New Roman" w:cs="Times New Roman"/>
        </w:rPr>
        <w:t>can be cited</w:t>
      </w:r>
      <w:proofErr w:type="gramEnd"/>
      <w:r w:rsidRPr="0014083A">
        <w:rPr>
          <w:rFonts w:ascii="Times New Roman" w:hAnsi="Times New Roman" w:cs="Times New Roman"/>
        </w:rPr>
        <w:t xml:space="preserve"> to support both propositions.</w:t>
      </w:r>
      <w:r w:rsidRPr="0014083A">
        <w:rPr>
          <w:rStyle w:val="FootnoteReference"/>
          <w:rFonts w:ascii="Times New Roman" w:hAnsi="Times New Roman"/>
        </w:rPr>
        <w:footnoteReference w:id="240"/>
      </w:r>
    </w:p>
    <w:p w14:paraId="72A72190" w14:textId="77777777" w:rsidR="00DB23F8" w:rsidRPr="0014083A" w:rsidRDefault="00DB23F8" w:rsidP="00DC53C2">
      <w:pPr>
        <w:bidi w:val="0"/>
        <w:ind w:firstLine="720"/>
        <w:jc w:val="both"/>
        <w:rPr>
          <w:rFonts w:ascii="Times New Roman" w:hAnsi="Times New Roman" w:cs="Times New Roman"/>
          <w:rtl/>
        </w:rPr>
      </w:pPr>
      <w:r w:rsidRPr="0014083A">
        <w:rPr>
          <w:rFonts w:ascii="Times New Roman" w:hAnsi="Times New Roman" w:cs="Times New Roman"/>
        </w:rPr>
        <w:t xml:space="preserve">If the negligence standard aims to capture </w:t>
      </w:r>
      <w:proofErr w:type="gramStart"/>
      <w:r w:rsidRPr="0014083A">
        <w:rPr>
          <w:rFonts w:ascii="Times New Roman" w:hAnsi="Times New Roman" w:cs="Times New Roman"/>
        </w:rPr>
        <w:t>situations</w:t>
      </w:r>
      <w:proofErr w:type="gramEnd"/>
      <w:r w:rsidRPr="0014083A">
        <w:rPr>
          <w:rFonts w:ascii="Times New Roman" w:hAnsi="Times New Roman" w:cs="Times New Roman"/>
        </w:rPr>
        <w:t xml:space="preserve"> in which subjective </w:t>
      </w:r>
      <w:proofErr w:type="spellStart"/>
      <w:r w:rsidRPr="0014083A">
        <w:rPr>
          <w:rFonts w:ascii="Times New Roman" w:hAnsi="Times New Roman" w:cs="Times New Roman"/>
        </w:rPr>
        <w:t>mens</w:t>
      </w:r>
      <w:proofErr w:type="spellEnd"/>
      <w:r w:rsidRPr="0014083A">
        <w:rPr>
          <w:rFonts w:ascii="Times New Roman" w:hAnsi="Times New Roman" w:cs="Times New Roman"/>
        </w:rPr>
        <w:t xml:space="preserve"> rea is likely to be present </w:t>
      </w:r>
      <w:r w:rsidR="00F36FF8">
        <w:rPr>
          <w:rFonts w:ascii="Times New Roman" w:hAnsi="Times New Roman" w:cs="Times New Roman"/>
        </w:rPr>
        <w:t>but</w:t>
      </w:r>
      <w:r w:rsidR="00F36FF8" w:rsidRPr="0014083A">
        <w:rPr>
          <w:rFonts w:ascii="Times New Roman" w:hAnsi="Times New Roman" w:cs="Times New Roman"/>
        </w:rPr>
        <w:t xml:space="preserve"> </w:t>
      </w:r>
      <w:r w:rsidRPr="0014083A">
        <w:rPr>
          <w:rFonts w:ascii="Times New Roman" w:hAnsi="Times New Roman" w:cs="Times New Roman"/>
        </w:rPr>
        <w:t>is difficult to prove beyond a reasonable doubt</w:t>
      </w:r>
      <w:r w:rsidR="00F36FF8">
        <w:rPr>
          <w:rFonts w:ascii="Times New Roman" w:hAnsi="Times New Roman" w:cs="Times New Roman"/>
        </w:rPr>
        <w:t>,</w:t>
      </w:r>
      <w:r w:rsidRPr="0014083A">
        <w:rPr>
          <w:rFonts w:ascii="Times New Roman" w:hAnsi="Times New Roman" w:cs="Times New Roman"/>
        </w:rPr>
        <w:t xml:space="preserve"> then individualizing it is desirable. An individualized negligence standard enables the factfinder to examine more accurately the probability of the existence of a subjective </w:t>
      </w:r>
      <w:proofErr w:type="spellStart"/>
      <w:r w:rsidRPr="0014083A">
        <w:rPr>
          <w:rFonts w:ascii="Times New Roman" w:hAnsi="Times New Roman" w:cs="Times New Roman"/>
        </w:rPr>
        <w:t>mens</w:t>
      </w:r>
      <w:proofErr w:type="spellEnd"/>
      <w:r w:rsidRPr="0014083A">
        <w:rPr>
          <w:rFonts w:ascii="Times New Roman" w:hAnsi="Times New Roman" w:cs="Times New Roman"/>
        </w:rPr>
        <w:t xml:space="preserve"> rea. If the defendant is sharp and intelligent</w:t>
      </w:r>
      <w:r w:rsidR="00F36FF8">
        <w:rPr>
          <w:rFonts w:ascii="Times New Roman" w:hAnsi="Times New Roman" w:cs="Times New Roman"/>
        </w:rPr>
        <w:t>,</w:t>
      </w:r>
      <w:r w:rsidRPr="0014083A">
        <w:rPr>
          <w:rFonts w:ascii="Times New Roman" w:hAnsi="Times New Roman" w:cs="Times New Roman"/>
        </w:rPr>
        <w:t xml:space="preserve"> he is far more likely </w:t>
      </w:r>
      <w:proofErr w:type="gramStart"/>
      <w:r w:rsidRPr="0014083A">
        <w:rPr>
          <w:rFonts w:ascii="Times New Roman" w:hAnsi="Times New Roman" w:cs="Times New Roman"/>
        </w:rPr>
        <w:t>to truly understand</w:t>
      </w:r>
      <w:proofErr w:type="gramEnd"/>
      <w:r w:rsidRPr="0014083A">
        <w:rPr>
          <w:rFonts w:ascii="Times New Roman" w:hAnsi="Times New Roman" w:cs="Times New Roman"/>
        </w:rPr>
        <w:t xml:space="preserve"> the nature of his actions. </w:t>
      </w:r>
      <w:r w:rsidR="00F36FF8">
        <w:rPr>
          <w:rFonts w:ascii="Times New Roman" w:hAnsi="Times New Roman" w:cs="Times New Roman"/>
        </w:rPr>
        <w:t>However, i</w:t>
      </w:r>
      <w:r w:rsidRPr="0014083A">
        <w:rPr>
          <w:rFonts w:ascii="Times New Roman" w:hAnsi="Times New Roman" w:cs="Times New Roman"/>
        </w:rPr>
        <w:t>f</w:t>
      </w:r>
      <w:r w:rsidR="00F36FF8">
        <w:rPr>
          <w:rFonts w:ascii="Times New Roman" w:hAnsi="Times New Roman" w:cs="Times New Roman"/>
        </w:rPr>
        <w:t xml:space="preserve"> </w:t>
      </w:r>
      <w:r w:rsidRPr="0014083A">
        <w:rPr>
          <w:rFonts w:ascii="Times New Roman" w:hAnsi="Times New Roman" w:cs="Times New Roman"/>
        </w:rPr>
        <w:t>the defendant is clumsy and foolish he is likely to have acted in a truly inadvertent fashion. By incorporating all the personal information into the determination of negligence</w:t>
      </w:r>
      <w:r w:rsidR="00F36FF8">
        <w:rPr>
          <w:rFonts w:ascii="Times New Roman" w:hAnsi="Times New Roman" w:cs="Times New Roman"/>
        </w:rPr>
        <w:t>,</w:t>
      </w:r>
      <w:r w:rsidRPr="0014083A">
        <w:rPr>
          <w:rFonts w:ascii="Times New Roman" w:hAnsi="Times New Roman" w:cs="Times New Roman"/>
        </w:rPr>
        <w:t xml:space="preserve"> the court can better </w:t>
      </w:r>
      <w:r>
        <w:rPr>
          <w:rFonts w:ascii="Times New Roman" w:hAnsi="Times New Roman" w:cs="Times New Roman"/>
        </w:rPr>
        <w:t>ascertain</w:t>
      </w:r>
      <w:r w:rsidRPr="0014083A">
        <w:rPr>
          <w:rFonts w:ascii="Times New Roman" w:hAnsi="Times New Roman" w:cs="Times New Roman"/>
        </w:rPr>
        <w:t xml:space="preserve"> what the probability of a subjective </w:t>
      </w:r>
      <w:proofErr w:type="spellStart"/>
      <w:r w:rsidRPr="0014083A">
        <w:rPr>
          <w:rFonts w:ascii="Times New Roman" w:hAnsi="Times New Roman" w:cs="Times New Roman"/>
        </w:rPr>
        <w:t>mens</w:t>
      </w:r>
      <w:proofErr w:type="spellEnd"/>
      <w:r w:rsidRPr="0014083A">
        <w:rPr>
          <w:rFonts w:ascii="Times New Roman" w:hAnsi="Times New Roman" w:cs="Times New Roman"/>
        </w:rPr>
        <w:t xml:space="preserve"> rea </w:t>
      </w:r>
      <w:r w:rsidR="00F36FF8">
        <w:rPr>
          <w:rFonts w:ascii="Times New Roman" w:hAnsi="Times New Roman" w:cs="Times New Roman"/>
        </w:rPr>
        <w:t xml:space="preserve">is </w:t>
      </w:r>
      <w:r w:rsidRPr="0014083A">
        <w:rPr>
          <w:rFonts w:ascii="Times New Roman" w:hAnsi="Times New Roman" w:cs="Times New Roman"/>
        </w:rPr>
        <w:t>and whether this probability merits punishment.</w:t>
      </w:r>
    </w:p>
    <w:p w14:paraId="10BF7E56" w14:textId="77777777" w:rsidR="00DB23F8" w:rsidRPr="0014083A" w:rsidRDefault="00DB23F8" w:rsidP="00F414D1">
      <w:pPr>
        <w:bidi w:val="0"/>
        <w:ind w:firstLine="720"/>
        <w:jc w:val="both"/>
        <w:rPr>
          <w:rFonts w:ascii="Times New Roman" w:hAnsi="Times New Roman" w:cs="Times New Roman"/>
        </w:rPr>
      </w:pPr>
      <w:r w:rsidRPr="0014083A">
        <w:rPr>
          <w:rFonts w:ascii="Times New Roman" w:hAnsi="Times New Roman" w:cs="Times New Roman"/>
        </w:rPr>
        <w:t xml:space="preserve">Some empirical support for the assertion that the individualization of criminal negligence achieves evidentiary goals </w:t>
      </w:r>
      <w:proofErr w:type="gramStart"/>
      <w:r w:rsidRPr="0014083A">
        <w:rPr>
          <w:rFonts w:ascii="Times New Roman" w:hAnsi="Times New Roman" w:cs="Times New Roman"/>
        </w:rPr>
        <w:t>can be found</w:t>
      </w:r>
      <w:proofErr w:type="gramEnd"/>
      <w:r w:rsidRPr="0014083A">
        <w:rPr>
          <w:rFonts w:ascii="Times New Roman" w:hAnsi="Times New Roman" w:cs="Times New Roman"/>
        </w:rPr>
        <w:t xml:space="preserve"> in </w:t>
      </w:r>
      <w:r>
        <w:rPr>
          <w:rFonts w:ascii="Times New Roman" w:hAnsi="Times New Roman" w:cs="Times New Roman"/>
        </w:rPr>
        <w:t xml:space="preserve">Professor </w:t>
      </w:r>
      <w:r w:rsidRPr="0014083A">
        <w:rPr>
          <w:rFonts w:ascii="Times New Roman" w:hAnsi="Times New Roman" w:cs="Times New Roman"/>
        </w:rPr>
        <w:t>Paul Robinson</w:t>
      </w:r>
      <w:r w:rsidR="00D111DB">
        <w:rPr>
          <w:rFonts w:ascii="Times New Roman" w:hAnsi="Times New Roman" w:cs="Times New Roman"/>
        </w:rPr>
        <w:t>’s</w:t>
      </w:r>
      <w:r w:rsidRPr="0014083A">
        <w:rPr>
          <w:rFonts w:ascii="Times New Roman" w:hAnsi="Times New Roman" w:cs="Times New Roman"/>
        </w:rPr>
        <w:t xml:space="preserve"> study on the matter.</w:t>
      </w:r>
      <w:r w:rsidRPr="0014083A">
        <w:rPr>
          <w:rStyle w:val="FootnoteReference"/>
          <w:rFonts w:ascii="Times New Roman" w:hAnsi="Times New Roman"/>
        </w:rPr>
        <w:footnoteReference w:id="241"/>
      </w:r>
      <w:r w:rsidRPr="0014083A">
        <w:rPr>
          <w:rFonts w:ascii="Times New Roman" w:hAnsi="Times New Roman" w:cs="Times New Roman"/>
        </w:rPr>
        <w:t xml:space="preserve"> Robinson examined to what degree different factors of individualization (e.g., age, intelligence, upbringing, etc.) influence people</w:t>
      </w:r>
      <w:r w:rsidR="00D111DB">
        <w:rPr>
          <w:rFonts w:ascii="Times New Roman" w:hAnsi="Times New Roman" w:cs="Times New Roman"/>
        </w:rPr>
        <w:t>’</w:t>
      </w:r>
      <w:r w:rsidRPr="0014083A">
        <w:rPr>
          <w:rFonts w:ascii="Times New Roman" w:hAnsi="Times New Roman" w:cs="Times New Roman"/>
        </w:rPr>
        <w:t>s assessment of the defendant’s fault. While the study identif</w:t>
      </w:r>
      <w:r w:rsidR="00D111DB">
        <w:rPr>
          <w:rFonts w:ascii="Times New Roman" w:hAnsi="Times New Roman" w:cs="Times New Roman"/>
        </w:rPr>
        <w:t>ied</w:t>
      </w:r>
      <w:r w:rsidRPr="0014083A">
        <w:rPr>
          <w:rFonts w:ascii="Times New Roman" w:hAnsi="Times New Roman" w:cs="Times New Roman"/>
        </w:rPr>
        <w:t xml:space="preserve"> some </w:t>
      </w:r>
      <w:proofErr w:type="gramStart"/>
      <w:r w:rsidRPr="0014083A">
        <w:rPr>
          <w:rFonts w:ascii="Times New Roman" w:hAnsi="Times New Roman" w:cs="Times New Roman"/>
        </w:rPr>
        <w:t>dimensions</w:t>
      </w:r>
      <w:proofErr w:type="gramEnd"/>
      <w:r w:rsidRPr="0014083A">
        <w:rPr>
          <w:rFonts w:ascii="Times New Roman" w:hAnsi="Times New Roman" w:cs="Times New Roman"/>
        </w:rPr>
        <w:t xml:space="preserve"> along which people thought that individualization was in place, Robinson candidly acknowledges that no obvious pattern exists in people</w:t>
      </w:r>
      <w:r w:rsidR="00D111DB">
        <w:rPr>
          <w:rFonts w:ascii="Times New Roman" w:hAnsi="Times New Roman" w:cs="Times New Roman"/>
        </w:rPr>
        <w:t>’</w:t>
      </w:r>
      <w:r w:rsidRPr="0014083A">
        <w:rPr>
          <w:rFonts w:ascii="Times New Roman" w:hAnsi="Times New Roman" w:cs="Times New Roman"/>
        </w:rPr>
        <w:t>s judgments.</w:t>
      </w:r>
      <w:r w:rsidRPr="0014083A">
        <w:rPr>
          <w:rStyle w:val="FootnoteReference"/>
          <w:rFonts w:ascii="Times New Roman" w:hAnsi="Times New Roman"/>
        </w:rPr>
        <w:footnoteReference w:id="242"/>
      </w:r>
      <w:r w:rsidRPr="0014083A">
        <w:rPr>
          <w:rFonts w:ascii="Times New Roman" w:hAnsi="Times New Roman" w:cs="Times New Roman"/>
        </w:rPr>
        <w:t xml:space="preserve"> As a result, he suggests, “we need to leave the individualizing determination to ad hoc judgements with little principled guidance.”</w:t>
      </w:r>
      <w:bookmarkStart w:id="64" w:name="_Ref438730574"/>
      <w:r w:rsidRPr="0014083A">
        <w:rPr>
          <w:rStyle w:val="FootnoteReference"/>
          <w:rFonts w:ascii="Times New Roman" w:hAnsi="Times New Roman"/>
        </w:rPr>
        <w:footnoteReference w:id="243"/>
      </w:r>
      <w:bookmarkEnd w:id="64"/>
      <w:r w:rsidRPr="0014083A">
        <w:rPr>
          <w:rFonts w:ascii="Times New Roman" w:hAnsi="Times New Roman" w:cs="Times New Roman"/>
        </w:rPr>
        <w:t xml:space="preserve"> This type of fact</w:t>
      </w:r>
      <w:r w:rsidR="00D111DB">
        <w:rPr>
          <w:rFonts w:ascii="Times New Roman" w:hAnsi="Times New Roman" w:cs="Times New Roman"/>
        </w:rPr>
        <w:t>-</w:t>
      </w:r>
      <w:r w:rsidRPr="0014083A">
        <w:rPr>
          <w:rFonts w:ascii="Times New Roman" w:hAnsi="Times New Roman" w:cs="Times New Roman"/>
        </w:rPr>
        <w:t>sp</w:t>
      </w:r>
      <w:bookmarkStart w:id="65" w:name="_GoBack"/>
      <w:bookmarkEnd w:id="65"/>
      <w:r w:rsidRPr="0014083A">
        <w:rPr>
          <w:rFonts w:ascii="Times New Roman" w:hAnsi="Times New Roman" w:cs="Times New Roman"/>
        </w:rPr>
        <w:t>ecific analysis seems at least consistent with a doctrine aimed towards weighing the evidence regarding the defendant’s state of mind in each case.</w:t>
      </w:r>
    </w:p>
    <w:p w14:paraId="1D5E67CF" w14:textId="7A3D2C09" w:rsidR="00DB23F8" w:rsidRPr="0014083A" w:rsidRDefault="00DB23F8" w:rsidP="00F414D1">
      <w:pPr>
        <w:bidi w:val="0"/>
        <w:jc w:val="both"/>
        <w:rPr>
          <w:rFonts w:ascii="Times New Roman" w:hAnsi="Times New Roman" w:cs="Times New Roman"/>
        </w:rPr>
      </w:pPr>
      <w:r w:rsidRPr="0014083A">
        <w:rPr>
          <w:rFonts w:ascii="Times New Roman" w:hAnsi="Times New Roman" w:cs="Times New Roman"/>
        </w:rPr>
        <w:t xml:space="preserve"> </w:t>
      </w:r>
      <w:r w:rsidRPr="0014083A">
        <w:rPr>
          <w:rFonts w:ascii="Times New Roman" w:hAnsi="Times New Roman" w:cs="Times New Roman"/>
        </w:rPr>
        <w:tab/>
        <w:t xml:space="preserve">Note that a comparison between individualized negligence and strict liability highlights the relative advantage of the former in preventing erroneous convictions. When liability is strict, courts might be compelled to convict blameless individuals in cases that do not </w:t>
      </w:r>
      <w:r>
        <w:rPr>
          <w:rFonts w:ascii="Times New Roman" w:hAnsi="Times New Roman" w:cs="Times New Roman"/>
        </w:rPr>
        <w:t>involve evidentiary uncertainty (especially if a good</w:t>
      </w:r>
      <w:r w:rsidR="00D111DB">
        <w:rPr>
          <w:rFonts w:ascii="Times New Roman" w:hAnsi="Times New Roman" w:cs="Times New Roman"/>
        </w:rPr>
        <w:t xml:space="preserve"> </w:t>
      </w:r>
      <w:r>
        <w:rPr>
          <w:rFonts w:ascii="Times New Roman" w:hAnsi="Times New Roman" w:cs="Times New Roman"/>
        </w:rPr>
        <w:t xml:space="preserve">faith defense </w:t>
      </w:r>
      <w:proofErr w:type="gramStart"/>
      <w:r>
        <w:rPr>
          <w:rFonts w:ascii="Times New Roman" w:hAnsi="Times New Roman" w:cs="Times New Roman"/>
        </w:rPr>
        <w:t>is not incorporated</w:t>
      </w:r>
      <w:proofErr w:type="gramEnd"/>
      <w:r>
        <w:rPr>
          <w:rFonts w:ascii="Times New Roman" w:hAnsi="Times New Roman" w:cs="Times New Roman"/>
        </w:rPr>
        <w:t xml:space="preserve"> into the crime)</w:t>
      </w:r>
      <w:r w:rsidRPr="0014083A">
        <w:rPr>
          <w:rFonts w:ascii="Times New Roman" w:hAnsi="Times New Roman" w:cs="Times New Roman"/>
        </w:rPr>
        <w:t xml:space="preserve">. Attaching a subjective </w:t>
      </w:r>
      <w:proofErr w:type="spellStart"/>
      <w:r w:rsidRPr="0014083A">
        <w:rPr>
          <w:rFonts w:ascii="Times New Roman" w:hAnsi="Times New Roman" w:cs="Times New Roman"/>
        </w:rPr>
        <w:t>mens</w:t>
      </w:r>
      <w:proofErr w:type="spellEnd"/>
      <w:r w:rsidRPr="0014083A">
        <w:rPr>
          <w:rFonts w:ascii="Times New Roman" w:hAnsi="Times New Roman" w:cs="Times New Roman"/>
        </w:rPr>
        <w:t xml:space="preserve"> rea to the </w:t>
      </w:r>
      <w:r w:rsidR="00296EC3">
        <w:rPr>
          <w:rFonts w:ascii="Times New Roman" w:hAnsi="Times New Roman" w:cs="Times New Roman"/>
        </w:rPr>
        <w:t>offense</w:t>
      </w:r>
      <w:r w:rsidRPr="0014083A">
        <w:rPr>
          <w:rFonts w:ascii="Times New Roman" w:hAnsi="Times New Roman" w:cs="Times New Roman"/>
        </w:rPr>
        <w:t xml:space="preserve"> would allow the court to acquit </w:t>
      </w:r>
      <w:r>
        <w:rPr>
          <w:rFonts w:ascii="Times New Roman" w:hAnsi="Times New Roman" w:cs="Times New Roman"/>
        </w:rPr>
        <w:t xml:space="preserve">all </w:t>
      </w:r>
      <w:r w:rsidRPr="0014083A">
        <w:rPr>
          <w:rFonts w:ascii="Times New Roman" w:hAnsi="Times New Roman" w:cs="Times New Roman"/>
        </w:rPr>
        <w:t>blameless individual</w:t>
      </w:r>
      <w:r>
        <w:rPr>
          <w:rFonts w:ascii="Times New Roman" w:hAnsi="Times New Roman" w:cs="Times New Roman"/>
        </w:rPr>
        <w:t>s</w:t>
      </w:r>
      <w:r w:rsidRPr="0014083A">
        <w:rPr>
          <w:rFonts w:ascii="Times New Roman" w:hAnsi="Times New Roman" w:cs="Times New Roman"/>
        </w:rPr>
        <w:t xml:space="preserve"> but at the cost of </w:t>
      </w:r>
      <w:proofErr w:type="gramStart"/>
      <w:r w:rsidRPr="0014083A">
        <w:rPr>
          <w:rFonts w:ascii="Times New Roman" w:hAnsi="Times New Roman" w:cs="Times New Roman"/>
        </w:rPr>
        <w:t>acquitting</w:t>
      </w:r>
      <w:proofErr w:type="gramEnd"/>
      <w:r w:rsidRPr="0014083A">
        <w:rPr>
          <w:rFonts w:ascii="Times New Roman" w:hAnsi="Times New Roman" w:cs="Times New Roman"/>
        </w:rPr>
        <w:t xml:space="preserve"> many guilty defendants who would manage to generate reasonable doubt. </w:t>
      </w:r>
      <w:r>
        <w:rPr>
          <w:rFonts w:ascii="Times New Roman" w:hAnsi="Times New Roman" w:cs="Times New Roman"/>
        </w:rPr>
        <w:t>I</w:t>
      </w:r>
      <w:r w:rsidRPr="0014083A">
        <w:rPr>
          <w:rFonts w:ascii="Times New Roman" w:hAnsi="Times New Roman" w:cs="Times New Roman"/>
        </w:rPr>
        <w:t xml:space="preserve">ndividualized negligence </w:t>
      </w:r>
      <w:r>
        <w:rPr>
          <w:rFonts w:ascii="Times New Roman" w:hAnsi="Times New Roman" w:cs="Times New Roman"/>
        </w:rPr>
        <w:t xml:space="preserve">can serve as a convenient middle ground that </w:t>
      </w:r>
      <w:r w:rsidRPr="0014083A">
        <w:rPr>
          <w:rFonts w:ascii="Times New Roman" w:hAnsi="Times New Roman" w:cs="Times New Roman"/>
        </w:rPr>
        <w:lastRenderedPageBreak/>
        <w:t xml:space="preserve">allows the court to carefully examine the facts of the case and only punish defendants whose guilt </w:t>
      </w:r>
      <w:proofErr w:type="gramStart"/>
      <w:r w:rsidR="00D111DB">
        <w:rPr>
          <w:rFonts w:ascii="Times New Roman" w:hAnsi="Times New Roman" w:cs="Times New Roman"/>
        </w:rPr>
        <w:t>has been</w:t>
      </w:r>
      <w:r w:rsidR="00D111DB" w:rsidRPr="0014083A">
        <w:rPr>
          <w:rFonts w:ascii="Times New Roman" w:hAnsi="Times New Roman" w:cs="Times New Roman"/>
        </w:rPr>
        <w:t xml:space="preserve"> </w:t>
      </w:r>
      <w:r w:rsidRPr="0014083A">
        <w:rPr>
          <w:rFonts w:ascii="Times New Roman" w:hAnsi="Times New Roman" w:cs="Times New Roman"/>
        </w:rPr>
        <w:t>established</w:t>
      </w:r>
      <w:proofErr w:type="gramEnd"/>
      <w:r w:rsidRPr="0014083A">
        <w:rPr>
          <w:rFonts w:ascii="Times New Roman" w:hAnsi="Times New Roman" w:cs="Times New Roman"/>
        </w:rPr>
        <w:t xml:space="preserve"> (</w:t>
      </w:r>
      <w:r w:rsidR="00D111DB">
        <w:rPr>
          <w:rFonts w:ascii="Times New Roman" w:hAnsi="Times New Roman" w:cs="Times New Roman"/>
        </w:rPr>
        <w:t>al</w:t>
      </w:r>
      <w:r w:rsidRPr="0014083A">
        <w:rPr>
          <w:rFonts w:ascii="Times New Roman" w:hAnsi="Times New Roman" w:cs="Times New Roman"/>
        </w:rPr>
        <w:t>though perhaps not beyond a reasonable doubt).</w:t>
      </w:r>
    </w:p>
    <w:p w14:paraId="49C13D60" w14:textId="77777777" w:rsidR="00DB23F8" w:rsidRPr="00F90EEA" w:rsidRDefault="00DB23F8" w:rsidP="007C52B7">
      <w:pPr>
        <w:pStyle w:val="ListParagraph"/>
        <w:keepNext/>
        <w:numPr>
          <w:ilvl w:val="0"/>
          <w:numId w:val="13"/>
        </w:numPr>
        <w:bidi w:val="0"/>
        <w:jc w:val="both"/>
        <w:rPr>
          <w:rFonts w:ascii="Times New Roman" w:hAnsi="Times New Roman" w:cs="Times New Roman"/>
          <w:i/>
          <w:iCs/>
        </w:rPr>
      </w:pPr>
      <w:r w:rsidRPr="00F90EEA">
        <w:rPr>
          <w:rFonts w:ascii="Times New Roman" w:hAnsi="Times New Roman" w:cs="Times New Roman"/>
          <w:i/>
          <w:iCs/>
        </w:rPr>
        <w:t>The Interaction between the Objective and the Subjective Elements of the Crime</w:t>
      </w:r>
    </w:p>
    <w:p w14:paraId="155C692A" w14:textId="77777777" w:rsidR="00DB23F8" w:rsidRDefault="00DB23F8" w:rsidP="007C52B7">
      <w:pPr>
        <w:keepNext/>
        <w:bidi w:val="0"/>
        <w:ind w:firstLine="720"/>
        <w:jc w:val="both"/>
        <w:rPr>
          <w:rFonts w:ascii="Times New Roman" w:hAnsi="Times New Roman" w:cs="Times New Roman"/>
        </w:rPr>
      </w:pPr>
      <w:r>
        <w:rPr>
          <w:rFonts w:ascii="Times New Roman" w:hAnsi="Times New Roman" w:cs="Times New Roman"/>
        </w:rPr>
        <w:t>Thus far</w:t>
      </w:r>
      <w:r w:rsidR="006C78DF">
        <w:rPr>
          <w:rFonts w:ascii="Times New Roman" w:hAnsi="Times New Roman" w:cs="Times New Roman"/>
        </w:rPr>
        <w:t>,</w:t>
      </w:r>
      <w:r>
        <w:rPr>
          <w:rFonts w:ascii="Times New Roman" w:hAnsi="Times New Roman" w:cs="Times New Roman"/>
        </w:rPr>
        <w:t xml:space="preserve"> the analysis has separately </w:t>
      </w:r>
      <w:r w:rsidR="006C78DF" w:rsidRPr="006C78DF">
        <w:rPr>
          <w:rFonts w:ascii="Times New Roman" w:hAnsi="Times New Roman" w:cs="Times New Roman"/>
        </w:rPr>
        <w:t xml:space="preserve">examined </w:t>
      </w:r>
      <w:r>
        <w:rPr>
          <w:rFonts w:ascii="Times New Roman" w:hAnsi="Times New Roman" w:cs="Times New Roman"/>
        </w:rPr>
        <w:t xml:space="preserve">the role of the objective and subjective elements of the crime in creating a penal regime that correlates punishment with evidence. In reality, these two elements interact, creating a complex matrix of combinations. By simultaneously adjusting both elements, legislatures can define crimes that capture a wide spectrum of evidentiary uncertainty ranging from the very suspicious to the mostly benign. </w:t>
      </w:r>
    </w:p>
    <w:p w14:paraId="153B2935" w14:textId="3628B4EC" w:rsidR="00DB23F8" w:rsidRDefault="00DB23F8" w:rsidP="008A103C">
      <w:pPr>
        <w:bidi w:val="0"/>
        <w:ind w:firstLine="720"/>
        <w:jc w:val="both"/>
        <w:rPr>
          <w:rFonts w:ascii="Times New Roman" w:hAnsi="Times New Roman" w:cs="Times New Roman"/>
        </w:rPr>
      </w:pPr>
      <w:r>
        <w:rPr>
          <w:rFonts w:ascii="Times New Roman" w:hAnsi="Times New Roman" w:cs="Times New Roman"/>
        </w:rPr>
        <w:t xml:space="preserve">The intent requirement attached to preparatory crimes </w:t>
      </w:r>
      <w:r w:rsidR="008A103C">
        <w:rPr>
          <w:rFonts w:ascii="Times New Roman" w:hAnsi="Times New Roman" w:cs="Times New Roman"/>
        </w:rPr>
        <w:t>demonstrates this</w:t>
      </w:r>
      <w:r>
        <w:rPr>
          <w:rFonts w:ascii="Times New Roman" w:hAnsi="Times New Roman" w:cs="Times New Roman"/>
        </w:rPr>
        <w:t xml:space="preserve"> point. Usually</w:t>
      </w:r>
      <w:r w:rsidR="006C78DF">
        <w:rPr>
          <w:rFonts w:ascii="Times New Roman" w:hAnsi="Times New Roman" w:cs="Times New Roman"/>
        </w:rPr>
        <w:t>,</w:t>
      </w:r>
      <w:r>
        <w:rPr>
          <w:rFonts w:ascii="Times New Roman" w:hAnsi="Times New Roman" w:cs="Times New Roman"/>
        </w:rPr>
        <w:t xml:space="preserve"> such crimes require the prosecution to prove that the defendant intended to engage in some type of unlawful behavior. It is a crime to buy a map or a railway timetable only if one does so with </w:t>
      </w:r>
      <w:r w:rsidR="006C78DF">
        <w:rPr>
          <w:rFonts w:ascii="Times New Roman" w:hAnsi="Times New Roman" w:cs="Times New Roman"/>
        </w:rPr>
        <w:t xml:space="preserve">the </w:t>
      </w:r>
      <w:r>
        <w:rPr>
          <w:rFonts w:ascii="Times New Roman" w:hAnsi="Times New Roman" w:cs="Times New Roman"/>
        </w:rPr>
        <w:t>intent to commit an act of terrorism.</w:t>
      </w:r>
      <w:r>
        <w:rPr>
          <w:rStyle w:val="FootnoteReference"/>
          <w:rFonts w:ascii="Times New Roman" w:hAnsi="Times New Roman"/>
        </w:rPr>
        <w:footnoteReference w:id="244"/>
      </w:r>
      <w:r>
        <w:rPr>
          <w:rFonts w:ascii="Times New Roman" w:hAnsi="Times New Roman" w:cs="Times New Roman"/>
        </w:rPr>
        <w:t xml:space="preserve"> While this requirement is relatively less restrictive than the mental state requirement attached to criminal attempt </w:t>
      </w:r>
      <w:r w:rsidR="006C78DF">
        <w:rPr>
          <w:rFonts w:ascii="Times New Roman" w:hAnsi="Times New Roman" w:cs="Times New Roman"/>
        </w:rPr>
        <w:t xml:space="preserve">because </w:t>
      </w:r>
      <w:r>
        <w:rPr>
          <w:rFonts w:ascii="Times New Roman" w:hAnsi="Times New Roman" w:cs="Times New Roman"/>
        </w:rPr>
        <w:t xml:space="preserve">it does not require the showing of a concrete criminal plan, it still </w:t>
      </w:r>
      <w:r w:rsidR="006C78DF">
        <w:rPr>
          <w:rFonts w:ascii="Times New Roman" w:hAnsi="Times New Roman" w:cs="Times New Roman"/>
        </w:rPr>
        <w:t xml:space="preserve">creates </w:t>
      </w:r>
      <w:r>
        <w:rPr>
          <w:rFonts w:ascii="Times New Roman" w:hAnsi="Times New Roman" w:cs="Times New Roman"/>
        </w:rPr>
        <w:t xml:space="preserve">a significant hurdle for the prosecution. Creating this hurdle is </w:t>
      </w:r>
      <w:r w:rsidR="006C78DF">
        <w:rPr>
          <w:rFonts w:ascii="Times New Roman" w:hAnsi="Times New Roman" w:cs="Times New Roman"/>
        </w:rPr>
        <w:t>important</w:t>
      </w:r>
      <w:r>
        <w:rPr>
          <w:rFonts w:ascii="Times New Roman" w:hAnsi="Times New Roman" w:cs="Times New Roman"/>
        </w:rPr>
        <w:t xml:space="preserve"> given the harmless nature of many of the acts covered by preparatory crimes and the imperfect correlation between those acts and actual wrongdoing. The added intent requirement aims to separate the culpable from the non-culpable by forcing the prosecution to prove the suspicious nature of the defendant’s conduct.</w:t>
      </w:r>
    </w:p>
    <w:p w14:paraId="19A88B88" w14:textId="77777777" w:rsidR="00DB23F8" w:rsidRDefault="006C78DF" w:rsidP="008042C8">
      <w:pPr>
        <w:bidi w:val="0"/>
        <w:ind w:firstLine="720"/>
        <w:jc w:val="both"/>
        <w:rPr>
          <w:rFonts w:ascii="Times New Roman" w:hAnsi="Times New Roman" w:cs="Times New Roman"/>
        </w:rPr>
      </w:pPr>
      <w:r>
        <w:rPr>
          <w:rFonts w:ascii="Times New Roman" w:hAnsi="Times New Roman" w:cs="Times New Roman"/>
        </w:rPr>
        <w:t>H</w:t>
      </w:r>
      <w:r w:rsidRPr="006C78DF">
        <w:rPr>
          <w:rFonts w:ascii="Times New Roman" w:hAnsi="Times New Roman" w:cs="Times New Roman"/>
        </w:rPr>
        <w:t xml:space="preserve">owever, </w:t>
      </w:r>
      <w:r>
        <w:rPr>
          <w:rFonts w:ascii="Times New Roman" w:hAnsi="Times New Roman" w:cs="Times New Roman"/>
        </w:rPr>
        <w:t>t</w:t>
      </w:r>
      <w:r w:rsidR="00DB23F8">
        <w:rPr>
          <w:rFonts w:ascii="Times New Roman" w:hAnsi="Times New Roman" w:cs="Times New Roman"/>
        </w:rPr>
        <w:t xml:space="preserve">he intent hurdle may </w:t>
      </w:r>
      <w:r w:rsidR="002F60DA">
        <w:rPr>
          <w:rFonts w:ascii="Times New Roman" w:hAnsi="Times New Roman" w:cs="Times New Roman"/>
        </w:rPr>
        <w:t>some</w:t>
      </w:r>
      <w:r w:rsidR="00DB23F8">
        <w:rPr>
          <w:rFonts w:ascii="Times New Roman" w:hAnsi="Times New Roman" w:cs="Times New Roman"/>
        </w:rPr>
        <w:t>times prove difficult to surpass for the same reason it is importan</w:t>
      </w:r>
      <w:r w:rsidR="002F60DA">
        <w:rPr>
          <w:rFonts w:ascii="Times New Roman" w:hAnsi="Times New Roman" w:cs="Times New Roman"/>
        </w:rPr>
        <w:t>t</w:t>
      </w:r>
      <w:r w:rsidR="00DB23F8">
        <w:rPr>
          <w:rFonts w:ascii="Times New Roman" w:hAnsi="Times New Roman" w:cs="Times New Roman"/>
        </w:rPr>
        <w:t xml:space="preserve">—the harmless nature of many of the acts that preparatory crimes deal with. For example, when the law criminalizes the possession of things that have dual uses—both criminal and legitimate—then a defendant, especially one who acts strategically and plans his crime prudently, might easily raise reasonable doubt as to whether he intended to behave illegally. To cope with this, legislatures can create a menu of preparatory crimes that differ with respect to their mental states. Cases in which the </w:t>
      </w:r>
      <w:r w:rsidR="002F60DA" w:rsidRPr="002F60DA">
        <w:rPr>
          <w:rFonts w:ascii="Times New Roman" w:hAnsi="Times New Roman" w:cs="Times New Roman"/>
        </w:rPr>
        <w:t>illicit</w:t>
      </w:r>
      <w:r w:rsidR="00DB23F8">
        <w:rPr>
          <w:rFonts w:ascii="Times New Roman" w:hAnsi="Times New Roman" w:cs="Times New Roman"/>
        </w:rPr>
        <w:t xml:space="preserve"> intent </w:t>
      </w:r>
      <w:proofErr w:type="gramStart"/>
      <w:r w:rsidR="00DB23F8">
        <w:rPr>
          <w:rFonts w:ascii="Times New Roman" w:hAnsi="Times New Roman" w:cs="Times New Roman"/>
        </w:rPr>
        <w:t>can be proven</w:t>
      </w:r>
      <w:proofErr w:type="gramEnd"/>
      <w:r w:rsidR="00DB23F8">
        <w:rPr>
          <w:rFonts w:ascii="Times New Roman" w:hAnsi="Times New Roman" w:cs="Times New Roman"/>
        </w:rPr>
        <w:t xml:space="preserve"> beyond a reasonable doubt are captured by the elevated crime and punished relatively harshly, while cases in which the </w:t>
      </w:r>
      <w:r w:rsidR="005306B5" w:rsidRPr="005306B5">
        <w:rPr>
          <w:rFonts w:ascii="Times New Roman" w:hAnsi="Times New Roman" w:cs="Times New Roman"/>
        </w:rPr>
        <w:t>illicit</w:t>
      </w:r>
      <w:r w:rsidR="00DB23F8">
        <w:rPr>
          <w:rFonts w:ascii="Times New Roman" w:hAnsi="Times New Roman" w:cs="Times New Roman"/>
        </w:rPr>
        <w:t xml:space="preserve"> intent cannot be proven beyond a reasonable doubt are delegated to a crime that does not require a showing of bad intent. Thus, for instance, jurisdictions differentiate between those who carry a “destructive device” with an intent to use that device wrongfully and those whose intent is unclear (and is therefore not an element of the crime) and reserve harsher sanctions for the former.</w:t>
      </w:r>
      <w:r w:rsidR="00DB23F8">
        <w:rPr>
          <w:rStyle w:val="FootnoteReference"/>
          <w:rFonts w:ascii="Times New Roman" w:hAnsi="Times New Roman"/>
        </w:rPr>
        <w:footnoteReference w:id="245"/>
      </w:r>
      <w:r w:rsidR="00DB23F8">
        <w:rPr>
          <w:rFonts w:ascii="Times New Roman" w:hAnsi="Times New Roman" w:cs="Times New Roman"/>
        </w:rPr>
        <w:t xml:space="preserve"> </w:t>
      </w:r>
    </w:p>
    <w:p w14:paraId="71FD9980" w14:textId="1991902E" w:rsidR="00DB23F8" w:rsidRDefault="00DB23F8" w:rsidP="008042C8">
      <w:pPr>
        <w:bidi w:val="0"/>
        <w:ind w:firstLine="720"/>
        <w:jc w:val="both"/>
        <w:rPr>
          <w:rFonts w:ascii="Times New Roman" w:hAnsi="Times New Roman" w:cs="Times New Roman"/>
        </w:rPr>
      </w:pPr>
      <w:r>
        <w:rPr>
          <w:rFonts w:ascii="Times New Roman" w:hAnsi="Times New Roman" w:cs="Times New Roman"/>
        </w:rPr>
        <w:t xml:space="preserve">A second example of the type of </w:t>
      </w:r>
      <w:r w:rsidR="00296EC3">
        <w:rPr>
          <w:rFonts w:ascii="Times New Roman" w:hAnsi="Times New Roman" w:cs="Times New Roman"/>
        </w:rPr>
        <w:t>offenses</w:t>
      </w:r>
      <w:r>
        <w:rPr>
          <w:rFonts w:ascii="Times New Roman" w:hAnsi="Times New Roman" w:cs="Times New Roman"/>
        </w:rPr>
        <w:t xml:space="preserve"> that lie within the policy matrix relates to the awareness requirement in proxy crimes and preparatory </w:t>
      </w:r>
      <w:r w:rsidR="00296EC3">
        <w:rPr>
          <w:rFonts w:ascii="Times New Roman" w:hAnsi="Times New Roman" w:cs="Times New Roman"/>
        </w:rPr>
        <w:t>offenses</w:t>
      </w:r>
      <w:r>
        <w:rPr>
          <w:rFonts w:ascii="Times New Roman" w:hAnsi="Times New Roman" w:cs="Times New Roman"/>
        </w:rPr>
        <w:t xml:space="preserve">. </w:t>
      </w:r>
      <w:proofErr w:type="gramStart"/>
      <w:r>
        <w:rPr>
          <w:rFonts w:ascii="Times New Roman" w:hAnsi="Times New Roman" w:cs="Times New Roman"/>
        </w:rPr>
        <w:t>Generally speaking, criminal</w:t>
      </w:r>
      <w:proofErr w:type="gramEnd"/>
      <w:r>
        <w:rPr>
          <w:rFonts w:ascii="Times New Roman" w:hAnsi="Times New Roman" w:cs="Times New Roman"/>
        </w:rPr>
        <w:t xml:space="preserve"> liability is attached only when the prosecution can prove beyond a reasonable doubt that the defendant was aware of the nature of his acts.</w:t>
      </w:r>
      <w:r>
        <w:rPr>
          <w:rStyle w:val="FootnoteReference"/>
          <w:rFonts w:ascii="Times New Roman" w:hAnsi="Times New Roman"/>
        </w:rPr>
        <w:footnoteReference w:id="246"/>
      </w:r>
      <w:r>
        <w:rPr>
          <w:rFonts w:ascii="Times New Roman" w:hAnsi="Times New Roman" w:cs="Times New Roman"/>
        </w:rPr>
        <w:t xml:space="preserve"> As noted above, this requirement generates a significant amount of false acquittals, given the evidentiary difficulties it entails.</w:t>
      </w:r>
      <w:r>
        <w:rPr>
          <w:rStyle w:val="FootnoteReference"/>
          <w:rFonts w:ascii="Times New Roman" w:hAnsi="Times New Roman"/>
        </w:rPr>
        <w:footnoteReference w:id="247"/>
      </w:r>
      <w:r>
        <w:rPr>
          <w:rFonts w:ascii="Times New Roman" w:hAnsi="Times New Roman" w:cs="Times New Roman"/>
        </w:rPr>
        <w:t xml:space="preserve"> These difficulties </w:t>
      </w:r>
      <w:proofErr w:type="gramStart"/>
      <w:r>
        <w:rPr>
          <w:rFonts w:ascii="Times New Roman" w:hAnsi="Times New Roman" w:cs="Times New Roman"/>
        </w:rPr>
        <w:t>are further exacerbated</w:t>
      </w:r>
      <w:proofErr w:type="gramEnd"/>
      <w:r>
        <w:rPr>
          <w:rFonts w:ascii="Times New Roman" w:hAnsi="Times New Roman" w:cs="Times New Roman"/>
        </w:rPr>
        <w:t xml:space="preserve"> in the context of proxy crimes and preparatory </w:t>
      </w:r>
      <w:r w:rsidR="00296EC3">
        <w:rPr>
          <w:rFonts w:ascii="Times New Roman" w:hAnsi="Times New Roman" w:cs="Times New Roman"/>
        </w:rPr>
        <w:t>offenses</w:t>
      </w:r>
      <w:r>
        <w:rPr>
          <w:rFonts w:ascii="Times New Roman" w:hAnsi="Times New Roman" w:cs="Times New Roman"/>
        </w:rPr>
        <w:t xml:space="preserve"> </w:t>
      </w:r>
      <w:r>
        <w:rPr>
          <w:rFonts w:ascii="Times New Roman" w:hAnsi="Times New Roman" w:cs="Times New Roman"/>
        </w:rPr>
        <w:lastRenderedPageBreak/>
        <w:t xml:space="preserve">given the equivocal nature of the acts they cover. As a result, proving beyond a reasonable doubt that the defendant was aware of the nature of his behavior might be an insurmountable task for the prosecution, and as a </w:t>
      </w:r>
      <w:proofErr w:type="gramStart"/>
      <w:r>
        <w:rPr>
          <w:rFonts w:ascii="Times New Roman" w:hAnsi="Times New Roman" w:cs="Times New Roman"/>
        </w:rPr>
        <w:t>result</w:t>
      </w:r>
      <w:proofErr w:type="gramEnd"/>
      <w:r>
        <w:rPr>
          <w:rFonts w:ascii="Times New Roman" w:hAnsi="Times New Roman" w:cs="Times New Roman"/>
        </w:rPr>
        <w:t xml:space="preserve"> the purpose of these crimes might be frustrated. </w:t>
      </w:r>
    </w:p>
    <w:p w14:paraId="28F6AD13" w14:textId="53765574" w:rsidR="00DB23F8" w:rsidRDefault="00DB23F8" w:rsidP="00A431A9">
      <w:pPr>
        <w:bidi w:val="0"/>
        <w:ind w:firstLine="720"/>
        <w:jc w:val="both"/>
        <w:rPr>
          <w:rFonts w:ascii="Times New Roman" w:hAnsi="Times New Roman" w:cs="Times New Roman"/>
        </w:rPr>
      </w:pPr>
      <w:r>
        <w:rPr>
          <w:rFonts w:ascii="Times New Roman" w:hAnsi="Times New Roman" w:cs="Times New Roman"/>
        </w:rPr>
        <w:t xml:space="preserve">By enacting proxy crimes and preparatory </w:t>
      </w:r>
      <w:r w:rsidR="00296EC3">
        <w:rPr>
          <w:rFonts w:ascii="Times New Roman" w:hAnsi="Times New Roman" w:cs="Times New Roman"/>
        </w:rPr>
        <w:t>offenses</w:t>
      </w:r>
      <w:r>
        <w:rPr>
          <w:rFonts w:ascii="Times New Roman" w:hAnsi="Times New Roman" w:cs="Times New Roman"/>
        </w:rPr>
        <w:t xml:space="preserve"> that do not include a subjective</w:t>
      </w:r>
      <w:r w:rsidR="005306B5">
        <w:rPr>
          <w:rFonts w:ascii="Times New Roman" w:hAnsi="Times New Roman" w:cs="Times New Roman"/>
        </w:rPr>
        <w:t xml:space="preserve"> </w:t>
      </w:r>
      <w:r>
        <w:rPr>
          <w:rFonts w:ascii="Times New Roman" w:hAnsi="Times New Roman" w:cs="Times New Roman"/>
        </w:rPr>
        <w:t>awareness requirement</w:t>
      </w:r>
      <w:r w:rsidR="005306B5">
        <w:rPr>
          <w:rFonts w:ascii="Times New Roman" w:hAnsi="Times New Roman" w:cs="Times New Roman"/>
        </w:rPr>
        <w:t>,</w:t>
      </w:r>
      <w:r>
        <w:rPr>
          <w:rFonts w:ascii="Times New Roman" w:hAnsi="Times New Roman" w:cs="Times New Roman"/>
        </w:rPr>
        <w:t xml:space="preserve"> legislatures can capture within the criminal law cases in which defendant</w:t>
      </w:r>
      <w:r w:rsidR="005306B5">
        <w:rPr>
          <w:rFonts w:ascii="Times New Roman" w:hAnsi="Times New Roman" w:cs="Times New Roman"/>
        </w:rPr>
        <w:t>s</w:t>
      </w:r>
      <w:r>
        <w:rPr>
          <w:rFonts w:ascii="Times New Roman" w:hAnsi="Times New Roman" w:cs="Times New Roman"/>
        </w:rPr>
        <w:t xml:space="preserve"> engage in potentially harmful behavior</w:t>
      </w:r>
      <w:r w:rsidR="005306B5">
        <w:rPr>
          <w:rFonts w:ascii="Times New Roman" w:hAnsi="Times New Roman" w:cs="Times New Roman"/>
        </w:rPr>
        <w:t xml:space="preserve"> but</w:t>
      </w:r>
      <w:r>
        <w:rPr>
          <w:rFonts w:ascii="Times New Roman" w:hAnsi="Times New Roman" w:cs="Times New Roman"/>
        </w:rPr>
        <w:t xml:space="preserve"> their state of mind is difficult to prove. </w:t>
      </w:r>
      <w:r w:rsidR="005306B5">
        <w:rPr>
          <w:rFonts w:ascii="Times New Roman" w:hAnsi="Times New Roman" w:cs="Times New Roman"/>
        </w:rPr>
        <w:t>F</w:t>
      </w:r>
      <w:r w:rsidRPr="00891B35">
        <w:rPr>
          <w:rFonts w:ascii="Times New Roman" w:hAnsi="Times New Roman" w:cs="Times New Roman"/>
        </w:rPr>
        <w:t xml:space="preserve">or instance, </w:t>
      </w:r>
      <w:r w:rsidR="005306B5">
        <w:rPr>
          <w:rFonts w:ascii="Times New Roman" w:hAnsi="Times New Roman" w:cs="Times New Roman"/>
        </w:rPr>
        <w:t xml:space="preserve">take </w:t>
      </w:r>
      <w:r w:rsidRPr="00891B35">
        <w:rPr>
          <w:rFonts w:ascii="Times New Roman" w:hAnsi="Times New Roman" w:cs="Times New Roman"/>
        </w:rPr>
        <w:t>an individual caught carrying a concealed weapon for which he holds a license through a security checkpoint at an airport. This individual might be very blamewor</w:t>
      </w:r>
      <w:r>
        <w:rPr>
          <w:rFonts w:ascii="Times New Roman" w:hAnsi="Times New Roman" w:cs="Times New Roman"/>
        </w:rPr>
        <w:t>thy</w:t>
      </w:r>
      <w:r w:rsidR="005306B5">
        <w:rPr>
          <w:rFonts w:ascii="Times New Roman" w:hAnsi="Times New Roman" w:cs="Times New Roman"/>
        </w:rPr>
        <w:t xml:space="preserve">; </w:t>
      </w:r>
      <w:r>
        <w:rPr>
          <w:rFonts w:ascii="Times New Roman" w:hAnsi="Times New Roman" w:cs="Times New Roman"/>
        </w:rPr>
        <w:t xml:space="preserve">he may be doing this knowingly </w:t>
      </w:r>
      <w:r w:rsidR="005306B5">
        <w:rPr>
          <w:rFonts w:ascii="Times New Roman" w:hAnsi="Times New Roman" w:cs="Times New Roman"/>
        </w:rPr>
        <w:t xml:space="preserve">because </w:t>
      </w:r>
      <w:r>
        <w:rPr>
          <w:rFonts w:ascii="Times New Roman" w:hAnsi="Times New Roman" w:cs="Times New Roman"/>
        </w:rPr>
        <w:t>he is on his way to hi</w:t>
      </w:r>
      <w:r w:rsidRPr="00891B35">
        <w:rPr>
          <w:rFonts w:ascii="Times New Roman" w:hAnsi="Times New Roman" w:cs="Times New Roman"/>
        </w:rPr>
        <w:t>jack a plane</w:t>
      </w:r>
      <w:r w:rsidR="005306B5">
        <w:rPr>
          <w:rFonts w:ascii="Times New Roman" w:hAnsi="Times New Roman" w:cs="Times New Roman"/>
        </w:rPr>
        <w:t>. However,</w:t>
      </w:r>
      <w:r w:rsidR="005306B5" w:rsidRPr="00891B35">
        <w:rPr>
          <w:rFonts w:ascii="Times New Roman" w:hAnsi="Times New Roman" w:cs="Times New Roman"/>
        </w:rPr>
        <w:t xml:space="preserve"> </w:t>
      </w:r>
      <w:r>
        <w:rPr>
          <w:rFonts w:ascii="Times New Roman" w:hAnsi="Times New Roman" w:cs="Times New Roman"/>
        </w:rPr>
        <w:t xml:space="preserve">he might </w:t>
      </w:r>
      <w:r w:rsidRPr="00891B35">
        <w:rPr>
          <w:rFonts w:ascii="Times New Roman" w:hAnsi="Times New Roman" w:cs="Times New Roman"/>
        </w:rPr>
        <w:t xml:space="preserve">also be </w:t>
      </w:r>
      <w:r>
        <w:rPr>
          <w:rFonts w:ascii="Times New Roman" w:hAnsi="Times New Roman" w:cs="Times New Roman"/>
        </w:rPr>
        <w:t>completely</w:t>
      </w:r>
      <w:r w:rsidRPr="00891B35">
        <w:rPr>
          <w:rFonts w:ascii="Times New Roman" w:hAnsi="Times New Roman" w:cs="Times New Roman"/>
        </w:rPr>
        <w:t xml:space="preserve"> innocent</w:t>
      </w:r>
      <w:r w:rsidR="005306B5">
        <w:rPr>
          <w:rFonts w:ascii="Times New Roman" w:hAnsi="Times New Roman" w:cs="Times New Roman"/>
        </w:rPr>
        <w:t xml:space="preserve">; </w:t>
      </w:r>
      <w:r w:rsidRPr="00891B35">
        <w:rPr>
          <w:rFonts w:ascii="Times New Roman" w:hAnsi="Times New Roman" w:cs="Times New Roman"/>
        </w:rPr>
        <w:t>he may be carrying the gun inadvertently. Proving his precise state of mind is a thorny task</w:t>
      </w:r>
      <w:r w:rsidR="005306B5">
        <w:rPr>
          <w:rFonts w:ascii="Times New Roman" w:hAnsi="Times New Roman" w:cs="Times New Roman"/>
        </w:rPr>
        <w:t xml:space="preserve"> because </w:t>
      </w:r>
      <w:r w:rsidRPr="00891B35">
        <w:rPr>
          <w:rFonts w:ascii="Times New Roman" w:hAnsi="Times New Roman" w:cs="Times New Roman"/>
        </w:rPr>
        <w:t xml:space="preserve">he could raise </w:t>
      </w:r>
      <w:r>
        <w:rPr>
          <w:rFonts w:ascii="Times New Roman" w:hAnsi="Times New Roman" w:cs="Times New Roman"/>
        </w:rPr>
        <w:t>reasonable</w:t>
      </w:r>
      <w:r w:rsidRPr="00891B35">
        <w:rPr>
          <w:rFonts w:ascii="Times New Roman" w:hAnsi="Times New Roman" w:cs="Times New Roman"/>
        </w:rPr>
        <w:t xml:space="preserve"> doubt </w:t>
      </w:r>
      <w:r w:rsidR="005306B5">
        <w:rPr>
          <w:rFonts w:ascii="Times New Roman" w:hAnsi="Times New Roman" w:cs="Times New Roman"/>
        </w:rPr>
        <w:t xml:space="preserve">about </w:t>
      </w:r>
      <w:r w:rsidRPr="00891B35">
        <w:rPr>
          <w:rFonts w:ascii="Times New Roman" w:hAnsi="Times New Roman" w:cs="Times New Roman"/>
        </w:rPr>
        <w:t xml:space="preserve">whether the situation is </w:t>
      </w:r>
      <w:r w:rsidR="005306B5">
        <w:rPr>
          <w:rFonts w:ascii="Times New Roman" w:hAnsi="Times New Roman" w:cs="Times New Roman"/>
        </w:rPr>
        <w:t xml:space="preserve">the </w:t>
      </w:r>
      <w:r w:rsidRPr="00891B35">
        <w:rPr>
          <w:rFonts w:ascii="Times New Roman" w:hAnsi="Times New Roman" w:cs="Times New Roman"/>
        </w:rPr>
        <w:t>result of a</w:t>
      </w:r>
      <w:r>
        <w:rPr>
          <w:rFonts w:ascii="Times New Roman" w:hAnsi="Times New Roman" w:cs="Times New Roman"/>
        </w:rPr>
        <w:t>n honest</w:t>
      </w:r>
      <w:r w:rsidRPr="00891B35">
        <w:rPr>
          <w:rFonts w:ascii="Times New Roman" w:hAnsi="Times New Roman" w:cs="Times New Roman"/>
        </w:rPr>
        <w:t xml:space="preserve"> mistake</w:t>
      </w:r>
      <w:r>
        <w:rPr>
          <w:rFonts w:ascii="Times New Roman" w:hAnsi="Times New Roman" w:cs="Times New Roman"/>
        </w:rPr>
        <w:t xml:space="preserve"> (i.e., “ops, silly me, I must have got my bags mixed up when rushing to the airport at 5:00</w:t>
      </w:r>
      <w:r w:rsidR="005306B5">
        <w:rPr>
          <w:rFonts w:ascii="Times New Roman" w:hAnsi="Times New Roman" w:cs="Times New Roman"/>
        </w:rPr>
        <w:t xml:space="preserve"> </w:t>
      </w:r>
      <w:r>
        <w:rPr>
          <w:rFonts w:ascii="Times New Roman" w:hAnsi="Times New Roman" w:cs="Times New Roman"/>
        </w:rPr>
        <w:t>AM”)</w:t>
      </w:r>
      <w:r w:rsidRPr="00891B35">
        <w:rPr>
          <w:rFonts w:ascii="Times New Roman" w:hAnsi="Times New Roman" w:cs="Times New Roman"/>
        </w:rPr>
        <w:t>. By creating a</w:t>
      </w:r>
      <w:r>
        <w:rPr>
          <w:rFonts w:ascii="Times New Roman" w:hAnsi="Times New Roman" w:cs="Times New Roman"/>
        </w:rPr>
        <w:t>n</w:t>
      </w:r>
      <w:r w:rsidRPr="00891B35">
        <w:rPr>
          <w:rFonts w:ascii="Times New Roman" w:hAnsi="Times New Roman" w:cs="Times New Roman"/>
        </w:rPr>
        <w:t xml:space="preserve"> offense that criminalizes </w:t>
      </w:r>
      <w:r>
        <w:rPr>
          <w:rFonts w:ascii="Times New Roman" w:hAnsi="Times New Roman" w:cs="Times New Roman"/>
        </w:rPr>
        <w:t xml:space="preserve">the negligent </w:t>
      </w:r>
      <w:r w:rsidRPr="00891B35">
        <w:rPr>
          <w:rFonts w:ascii="Times New Roman" w:hAnsi="Times New Roman" w:cs="Times New Roman"/>
        </w:rPr>
        <w:t xml:space="preserve">carrying </w:t>
      </w:r>
      <w:r>
        <w:rPr>
          <w:rFonts w:ascii="Times New Roman" w:hAnsi="Times New Roman" w:cs="Times New Roman"/>
        </w:rPr>
        <w:t xml:space="preserve">of </w:t>
      </w:r>
      <w:r w:rsidRPr="00891B35">
        <w:rPr>
          <w:rFonts w:ascii="Times New Roman" w:hAnsi="Times New Roman" w:cs="Times New Roman"/>
        </w:rPr>
        <w:t xml:space="preserve">a gun through </w:t>
      </w:r>
      <w:r w:rsidR="005306B5">
        <w:rPr>
          <w:rFonts w:ascii="Times New Roman" w:hAnsi="Times New Roman" w:cs="Times New Roman"/>
        </w:rPr>
        <w:t>an</w:t>
      </w:r>
      <w:r w:rsidR="005306B5" w:rsidRPr="00891B35">
        <w:rPr>
          <w:rFonts w:ascii="Times New Roman" w:hAnsi="Times New Roman" w:cs="Times New Roman"/>
        </w:rPr>
        <w:t xml:space="preserve"> </w:t>
      </w:r>
      <w:r w:rsidRPr="00891B35">
        <w:rPr>
          <w:rFonts w:ascii="Times New Roman" w:hAnsi="Times New Roman" w:cs="Times New Roman"/>
        </w:rPr>
        <w:t>airport security checkpoint</w:t>
      </w:r>
      <w:r w:rsidR="005306B5">
        <w:rPr>
          <w:rFonts w:ascii="Times New Roman" w:hAnsi="Times New Roman" w:cs="Times New Roman"/>
        </w:rPr>
        <w:t>,</w:t>
      </w:r>
      <w:r w:rsidRPr="00891B35">
        <w:rPr>
          <w:rFonts w:ascii="Times New Roman" w:hAnsi="Times New Roman" w:cs="Times New Roman"/>
        </w:rPr>
        <w:t xml:space="preserve"> the legislature can tailor a sanctioning regime that </w:t>
      </w:r>
      <w:proofErr w:type="gramStart"/>
      <w:r w:rsidRPr="00891B35">
        <w:rPr>
          <w:rFonts w:ascii="Times New Roman" w:hAnsi="Times New Roman" w:cs="Times New Roman"/>
        </w:rPr>
        <w:t>is attuned</w:t>
      </w:r>
      <w:proofErr w:type="gramEnd"/>
      <w:r w:rsidRPr="00891B35">
        <w:rPr>
          <w:rFonts w:ascii="Times New Roman" w:hAnsi="Times New Roman" w:cs="Times New Roman"/>
        </w:rPr>
        <w:t xml:space="preserve"> to the strength of the evidence. While individuals caught with guns at airport security checkpoints </w:t>
      </w:r>
      <w:proofErr w:type="gramStart"/>
      <w:r>
        <w:rPr>
          <w:rFonts w:ascii="Times New Roman" w:hAnsi="Times New Roman" w:cs="Times New Roman"/>
        </w:rPr>
        <w:t>can be</w:t>
      </w:r>
      <w:r w:rsidRPr="00891B35">
        <w:rPr>
          <w:rFonts w:ascii="Times New Roman" w:hAnsi="Times New Roman" w:cs="Times New Roman"/>
        </w:rPr>
        <w:t xml:space="preserve"> punished</w:t>
      </w:r>
      <w:proofErr w:type="gramEnd"/>
      <w:r>
        <w:rPr>
          <w:rFonts w:ascii="Times New Roman" w:hAnsi="Times New Roman" w:cs="Times New Roman"/>
        </w:rPr>
        <w:t xml:space="preserve"> even if they were unaware of the gun in their possession</w:t>
      </w:r>
      <w:r w:rsidRPr="00891B35">
        <w:rPr>
          <w:rFonts w:ascii="Times New Roman" w:hAnsi="Times New Roman" w:cs="Times New Roman"/>
        </w:rPr>
        <w:t>,</w:t>
      </w:r>
      <w:r>
        <w:rPr>
          <w:rStyle w:val="FootnoteReference"/>
          <w:rFonts w:ascii="Times New Roman" w:hAnsi="Times New Roman"/>
        </w:rPr>
        <w:footnoteReference w:id="248"/>
      </w:r>
      <w:r w:rsidRPr="00891B35">
        <w:rPr>
          <w:rFonts w:ascii="Times New Roman" w:hAnsi="Times New Roman" w:cs="Times New Roman"/>
        </w:rPr>
        <w:t xml:space="preserve"> </w:t>
      </w:r>
      <w:r>
        <w:rPr>
          <w:rFonts w:ascii="Times New Roman" w:hAnsi="Times New Roman" w:cs="Times New Roman"/>
        </w:rPr>
        <w:t>severe sanctions are reserved for cases in which the prosecution can establish beyond a reasonable doubt that the possession was part of a serious criminal plot</w:t>
      </w:r>
      <w:r w:rsidRPr="00891B35">
        <w:rPr>
          <w:rFonts w:ascii="Times New Roman" w:hAnsi="Times New Roman" w:cs="Times New Roman"/>
        </w:rPr>
        <w:t>.</w:t>
      </w:r>
      <w:r>
        <w:rPr>
          <w:rStyle w:val="FootnoteReference"/>
          <w:rFonts w:ascii="Times New Roman" w:hAnsi="Times New Roman"/>
        </w:rPr>
        <w:footnoteReference w:id="249"/>
      </w:r>
      <w:r w:rsidRPr="00891B35">
        <w:rPr>
          <w:rFonts w:ascii="Times New Roman" w:hAnsi="Times New Roman" w:cs="Times New Roman"/>
        </w:rPr>
        <w:t xml:space="preserve"> </w:t>
      </w:r>
    </w:p>
    <w:p w14:paraId="1A5A8932" w14:textId="77777777" w:rsidR="00DB23F8" w:rsidRDefault="00DB23F8" w:rsidP="00A431A9">
      <w:pPr>
        <w:pStyle w:val="ListParagraph"/>
        <w:keepNext/>
        <w:numPr>
          <w:ilvl w:val="0"/>
          <w:numId w:val="5"/>
        </w:numPr>
        <w:bidi w:val="0"/>
        <w:jc w:val="center"/>
        <w:rPr>
          <w:rFonts w:ascii="Times New Roman" w:hAnsi="Times New Roman" w:cs="Times New Roman"/>
          <w:b/>
          <w:bCs/>
          <w:smallCaps/>
          <w:sz w:val="24"/>
          <w:szCs w:val="24"/>
        </w:rPr>
      </w:pPr>
      <w:r w:rsidRPr="0014083A">
        <w:rPr>
          <w:rFonts w:ascii="Times New Roman" w:hAnsi="Times New Roman" w:cs="Times New Roman"/>
          <w:b/>
          <w:bCs/>
          <w:smallCaps/>
          <w:sz w:val="24"/>
          <w:szCs w:val="24"/>
        </w:rPr>
        <w:t>Understanding the Evidentiary Structure of Criminal Law</w:t>
      </w:r>
    </w:p>
    <w:p w14:paraId="1E4E0E18" w14:textId="77777777" w:rsidR="00DB23F8" w:rsidRPr="0014083A" w:rsidRDefault="00DB23F8" w:rsidP="00962EEF">
      <w:pPr>
        <w:keepNext/>
        <w:bidi w:val="0"/>
        <w:ind w:firstLine="720"/>
        <w:jc w:val="both"/>
        <w:rPr>
          <w:rFonts w:ascii="Times New Roman" w:hAnsi="Times New Roman" w:cs="Times New Roman"/>
        </w:rPr>
      </w:pPr>
      <w:r w:rsidRPr="0014083A">
        <w:rPr>
          <w:rFonts w:ascii="Times New Roman" w:hAnsi="Times New Roman" w:cs="Times New Roman"/>
        </w:rPr>
        <w:t xml:space="preserve">The previous Section was </w:t>
      </w:r>
      <w:r>
        <w:rPr>
          <w:rFonts w:ascii="Times New Roman" w:hAnsi="Times New Roman" w:cs="Times New Roman"/>
        </w:rPr>
        <w:t xml:space="preserve">mostly </w:t>
      </w:r>
      <w:r w:rsidRPr="0014083A">
        <w:rPr>
          <w:rFonts w:ascii="Times New Roman" w:hAnsi="Times New Roman" w:cs="Times New Roman"/>
        </w:rPr>
        <w:t>descriptive</w:t>
      </w:r>
      <w:r w:rsidR="005306B5">
        <w:rPr>
          <w:rFonts w:ascii="Times New Roman" w:hAnsi="Times New Roman" w:cs="Times New Roman"/>
        </w:rPr>
        <w:t xml:space="preserve">; </w:t>
      </w:r>
      <w:r w:rsidRPr="0014083A">
        <w:rPr>
          <w:rFonts w:ascii="Times New Roman" w:hAnsi="Times New Roman" w:cs="Times New Roman"/>
        </w:rPr>
        <w:t xml:space="preserve">it showed that </w:t>
      </w:r>
      <w:r>
        <w:rPr>
          <w:rFonts w:ascii="Times New Roman" w:hAnsi="Times New Roman" w:cs="Times New Roman"/>
        </w:rPr>
        <w:t xml:space="preserve">substantive crimes </w:t>
      </w:r>
      <w:proofErr w:type="gramStart"/>
      <w:r>
        <w:rPr>
          <w:rFonts w:ascii="Times New Roman" w:hAnsi="Times New Roman" w:cs="Times New Roman"/>
        </w:rPr>
        <w:t>are often structured</w:t>
      </w:r>
      <w:proofErr w:type="gramEnd"/>
      <w:r>
        <w:rPr>
          <w:rFonts w:ascii="Times New Roman" w:hAnsi="Times New Roman" w:cs="Times New Roman"/>
        </w:rPr>
        <w:t xml:space="preserve"> such that </w:t>
      </w:r>
      <w:r w:rsidRPr="0014083A">
        <w:rPr>
          <w:rFonts w:ascii="Times New Roman" w:hAnsi="Times New Roman" w:cs="Times New Roman"/>
        </w:rPr>
        <w:t xml:space="preserve">penalties are distributed in accordance with the certainty of wrongdoing. This Section </w:t>
      </w:r>
      <w:r>
        <w:rPr>
          <w:rFonts w:ascii="Times New Roman" w:hAnsi="Times New Roman" w:cs="Times New Roman"/>
        </w:rPr>
        <w:t xml:space="preserve">delves more deeply into the theory and </w:t>
      </w:r>
      <w:r w:rsidRPr="0014083A">
        <w:rPr>
          <w:rFonts w:ascii="Times New Roman" w:hAnsi="Times New Roman" w:cs="Times New Roman"/>
        </w:rPr>
        <w:t>examine</w:t>
      </w:r>
      <w:r w:rsidR="005306B5">
        <w:rPr>
          <w:rFonts w:ascii="Times New Roman" w:hAnsi="Times New Roman" w:cs="Times New Roman"/>
        </w:rPr>
        <w:t>s</w:t>
      </w:r>
      <w:r w:rsidRPr="0014083A">
        <w:rPr>
          <w:rFonts w:ascii="Times New Roman" w:hAnsi="Times New Roman" w:cs="Times New Roman"/>
        </w:rPr>
        <w:t xml:space="preserve"> </w:t>
      </w:r>
      <w:r>
        <w:rPr>
          <w:rFonts w:ascii="Times New Roman" w:hAnsi="Times New Roman" w:cs="Times New Roman"/>
        </w:rPr>
        <w:t xml:space="preserve">why the law chose to alter the burden of proof in criminal trials </w:t>
      </w:r>
      <w:r w:rsidR="00962EEF">
        <w:rPr>
          <w:rFonts w:ascii="Times New Roman" w:hAnsi="Times New Roman" w:cs="Times New Roman"/>
        </w:rPr>
        <w:t>using</w:t>
      </w:r>
      <w:r>
        <w:rPr>
          <w:rFonts w:ascii="Times New Roman" w:hAnsi="Times New Roman" w:cs="Times New Roman"/>
        </w:rPr>
        <w:t xml:space="preserve"> the substantive rules that govern those trials. Arguably, </w:t>
      </w:r>
      <w:r w:rsidRPr="0014083A">
        <w:rPr>
          <w:rFonts w:ascii="Times New Roman" w:hAnsi="Times New Roman" w:cs="Times New Roman"/>
        </w:rPr>
        <w:t xml:space="preserve">directly altering the policy tool </w:t>
      </w:r>
      <w:r w:rsidR="005306B5">
        <w:rPr>
          <w:rFonts w:ascii="Times New Roman" w:hAnsi="Times New Roman" w:cs="Times New Roman"/>
        </w:rPr>
        <w:t>intended to</w:t>
      </w:r>
      <w:r w:rsidRPr="0014083A">
        <w:rPr>
          <w:rFonts w:ascii="Times New Roman" w:hAnsi="Times New Roman" w:cs="Times New Roman"/>
        </w:rPr>
        <w:t xml:space="preserve"> strik</w:t>
      </w:r>
      <w:r w:rsidR="005306B5">
        <w:rPr>
          <w:rFonts w:ascii="Times New Roman" w:hAnsi="Times New Roman" w:cs="Times New Roman"/>
        </w:rPr>
        <w:t xml:space="preserve">e </w:t>
      </w:r>
      <w:r>
        <w:rPr>
          <w:rFonts w:ascii="Times New Roman" w:hAnsi="Times New Roman" w:cs="Times New Roman"/>
        </w:rPr>
        <w:t xml:space="preserve">the </w:t>
      </w:r>
      <w:r w:rsidRPr="0014083A">
        <w:rPr>
          <w:rFonts w:ascii="Times New Roman" w:hAnsi="Times New Roman" w:cs="Times New Roman"/>
        </w:rPr>
        <w:t>balance between type 1 and type 2 errors, namely, the burden of proof</w:t>
      </w:r>
      <w:r>
        <w:rPr>
          <w:rFonts w:ascii="Times New Roman" w:hAnsi="Times New Roman" w:cs="Times New Roman"/>
        </w:rPr>
        <w:t>, could achieve this goal in a far simpler, precise, and transparent manner</w:t>
      </w:r>
      <w:r w:rsidRPr="0014083A">
        <w:rPr>
          <w:rFonts w:ascii="Times New Roman" w:hAnsi="Times New Roman" w:cs="Times New Roman"/>
        </w:rPr>
        <w:t>.</w:t>
      </w:r>
      <w:r>
        <w:rPr>
          <w:rFonts w:ascii="Times New Roman" w:hAnsi="Times New Roman" w:cs="Times New Roman"/>
        </w:rPr>
        <w:t xml:space="preserve"> As the analysis will show, the path down which the law went is not merely an artifact of constitutional constraints.</w:t>
      </w:r>
      <w:r>
        <w:rPr>
          <w:rStyle w:val="FootnoteReference"/>
          <w:rFonts w:ascii="Times New Roman" w:hAnsi="Times New Roman"/>
        </w:rPr>
        <w:footnoteReference w:id="250"/>
      </w:r>
      <w:r>
        <w:rPr>
          <w:rFonts w:ascii="Times New Roman" w:hAnsi="Times New Roman" w:cs="Times New Roman"/>
        </w:rPr>
        <w:t xml:space="preserve"> Rather, psychological, economic</w:t>
      </w:r>
      <w:r w:rsidR="00B732AE">
        <w:rPr>
          <w:rFonts w:ascii="Times New Roman" w:hAnsi="Times New Roman" w:cs="Times New Roman"/>
        </w:rPr>
        <w:t>,</w:t>
      </w:r>
      <w:r>
        <w:rPr>
          <w:rFonts w:ascii="Times New Roman" w:hAnsi="Times New Roman" w:cs="Times New Roman"/>
        </w:rPr>
        <w:t xml:space="preserve"> and expressive considerations might be the driving force behind the structure of the law.</w:t>
      </w:r>
      <w:r w:rsidRPr="0014083A">
        <w:rPr>
          <w:rFonts w:ascii="Times New Roman" w:hAnsi="Times New Roman" w:cs="Times New Roman"/>
        </w:rPr>
        <w:t xml:space="preserve"> </w:t>
      </w:r>
    </w:p>
    <w:p w14:paraId="337F7AC6" w14:textId="77777777" w:rsidR="00DB23F8" w:rsidRPr="00962EEF" w:rsidRDefault="00DB23F8" w:rsidP="008D6C57">
      <w:pPr>
        <w:pStyle w:val="ListParagraph"/>
        <w:keepNext/>
        <w:numPr>
          <w:ilvl w:val="0"/>
          <w:numId w:val="9"/>
        </w:numPr>
        <w:bidi w:val="0"/>
        <w:jc w:val="both"/>
        <w:rPr>
          <w:rFonts w:ascii="Times New Roman" w:hAnsi="Times New Roman" w:cs="Times New Roman"/>
          <w:i/>
          <w:iCs/>
        </w:rPr>
      </w:pPr>
      <w:r w:rsidRPr="00962EEF">
        <w:rPr>
          <w:rFonts w:ascii="Times New Roman" w:hAnsi="Times New Roman" w:cs="Times New Roman"/>
          <w:i/>
          <w:iCs/>
        </w:rPr>
        <w:t>The Psychological Perspective: Relaxing the Burden of Proof While Adhering to a Rigid Moral Constraint</w:t>
      </w:r>
    </w:p>
    <w:p w14:paraId="3C95BF6B" w14:textId="4DA9D7DF" w:rsidR="00DB23F8" w:rsidRDefault="00DB23F8" w:rsidP="008A103C">
      <w:pPr>
        <w:keepNext/>
        <w:bidi w:val="0"/>
        <w:ind w:firstLine="720"/>
        <w:jc w:val="both"/>
        <w:rPr>
          <w:rFonts w:ascii="Times New Roman" w:hAnsi="Times New Roman" w:cs="Times New Roman"/>
        </w:rPr>
      </w:pPr>
      <w:r>
        <w:rPr>
          <w:rFonts w:ascii="Times New Roman" w:hAnsi="Times New Roman" w:cs="Times New Roman"/>
        </w:rPr>
        <w:t xml:space="preserve">The elevated standard of proof in criminal trials </w:t>
      </w:r>
      <w:proofErr w:type="gramStart"/>
      <w:r>
        <w:rPr>
          <w:rFonts w:ascii="Times New Roman" w:hAnsi="Times New Roman" w:cs="Times New Roman"/>
        </w:rPr>
        <w:t>is often viewed</w:t>
      </w:r>
      <w:proofErr w:type="gramEnd"/>
      <w:r>
        <w:rPr>
          <w:rFonts w:ascii="Times New Roman" w:hAnsi="Times New Roman" w:cs="Times New Roman"/>
        </w:rPr>
        <w:t xml:space="preserve"> as a rigid external constraint imposed on the legal system. Going back to the </w:t>
      </w:r>
      <w:r w:rsidR="008A103C">
        <w:rPr>
          <w:rFonts w:ascii="Times New Roman" w:hAnsi="Times New Roman" w:cs="Times New Roman"/>
        </w:rPr>
        <w:t>Bible</w:t>
      </w:r>
      <w:r>
        <w:rPr>
          <w:rFonts w:ascii="Times New Roman" w:hAnsi="Times New Roman" w:cs="Times New Roman"/>
        </w:rPr>
        <w:t xml:space="preserve">, the prohibition against punishing the innocent </w:t>
      </w:r>
      <w:proofErr w:type="gramStart"/>
      <w:r>
        <w:rPr>
          <w:rFonts w:ascii="Times New Roman" w:hAnsi="Times New Roman" w:cs="Times New Roman"/>
        </w:rPr>
        <w:t>was phrased</w:t>
      </w:r>
      <w:proofErr w:type="gramEnd"/>
      <w:r>
        <w:rPr>
          <w:rFonts w:ascii="Times New Roman" w:hAnsi="Times New Roman" w:cs="Times New Roman"/>
        </w:rPr>
        <w:t xml:space="preserve"> in absolute terms: </w:t>
      </w:r>
      <w:r w:rsidRPr="00C90250">
        <w:rPr>
          <w:rFonts w:ascii="Times New Roman" w:hAnsi="Times New Roman" w:cs="Times New Roman"/>
        </w:rPr>
        <w:t>“the innocent and righteous slay thou not</w:t>
      </w:r>
      <w:r>
        <w:rPr>
          <w:rFonts w:ascii="Times New Roman" w:hAnsi="Times New Roman" w:cs="Times New Roman"/>
        </w:rPr>
        <w:t>.</w:t>
      </w:r>
      <w:r w:rsidRPr="00C90250">
        <w:rPr>
          <w:rFonts w:ascii="Times New Roman" w:hAnsi="Times New Roman" w:cs="Times New Roman"/>
        </w:rPr>
        <w:t>”</w:t>
      </w:r>
      <w:r w:rsidRPr="0014083A">
        <w:rPr>
          <w:rStyle w:val="FootnoteReference"/>
          <w:rFonts w:ascii="Times New Roman" w:hAnsi="Times New Roman"/>
        </w:rPr>
        <w:footnoteReference w:id="251"/>
      </w:r>
      <w:r>
        <w:rPr>
          <w:rFonts w:ascii="Times New Roman" w:hAnsi="Times New Roman" w:cs="Times New Roman"/>
        </w:rPr>
        <w:t xml:space="preserve"> American case law followed this line of thought as well. One early case described the standard as a “</w:t>
      </w:r>
      <w:r w:rsidR="00B732AE">
        <w:rPr>
          <w:rFonts w:ascii="Times New Roman" w:hAnsi="Times New Roman" w:cs="Times New Roman"/>
        </w:rPr>
        <w:t xml:space="preserve">divine </w:t>
      </w:r>
      <w:r>
        <w:rPr>
          <w:rFonts w:ascii="Times New Roman" w:hAnsi="Times New Roman" w:cs="Times New Roman"/>
        </w:rPr>
        <w:t>precept.”</w:t>
      </w:r>
      <w:r>
        <w:rPr>
          <w:rStyle w:val="FootnoteReference"/>
          <w:rFonts w:ascii="Times New Roman" w:hAnsi="Times New Roman"/>
        </w:rPr>
        <w:footnoteReference w:id="252"/>
      </w:r>
      <w:r>
        <w:rPr>
          <w:rFonts w:ascii="Times New Roman" w:hAnsi="Times New Roman" w:cs="Times New Roman"/>
        </w:rPr>
        <w:t xml:space="preserve"> More recently, the leading Supreme Court case on the topic </w:t>
      </w:r>
      <w:r>
        <w:rPr>
          <w:rFonts w:ascii="Times New Roman" w:hAnsi="Times New Roman" w:cs="Times New Roman"/>
        </w:rPr>
        <w:lastRenderedPageBreak/>
        <w:t>referred to the standard as a “</w:t>
      </w:r>
      <w:r w:rsidRPr="004D2FC4">
        <w:rPr>
          <w:rFonts w:ascii="Times New Roman" w:hAnsi="Times New Roman" w:cs="Times New Roman"/>
        </w:rPr>
        <w:t>bedrock ‘axiomatic and elementary’ principle whose ‘enforcement lies at the foundation of the administration of our criminal law’”.</w:t>
      </w:r>
      <w:r w:rsidRPr="0014083A">
        <w:rPr>
          <w:rStyle w:val="FootnoteReference"/>
          <w:rFonts w:ascii="Times New Roman" w:hAnsi="Times New Roman"/>
        </w:rPr>
        <w:footnoteReference w:id="253"/>
      </w:r>
      <w:r>
        <w:rPr>
          <w:rFonts w:ascii="Times New Roman" w:hAnsi="Times New Roman" w:cs="Times New Roman"/>
        </w:rPr>
        <w:t xml:space="preserve"> As Epps notes, commentators and jurists until this very day </w:t>
      </w:r>
      <w:r w:rsidR="00B732AE">
        <w:rPr>
          <w:rFonts w:ascii="Times New Roman" w:hAnsi="Times New Roman" w:cs="Times New Roman"/>
        </w:rPr>
        <w:t xml:space="preserve">have </w:t>
      </w:r>
      <w:r>
        <w:rPr>
          <w:rFonts w:ascii="Times New Roman" w:hAnsi="Times New Roman" w:cs="Times New Roman"/>
        </w:rPr>
        <w:t>take</w:t>
      </w:r>
      <w:r w:rsidR="00B732AE">
        <w:rPr>
          <w:rFonts w:ascii="Times New Roman" w:hAnsi="Times New Roman" w:cs="Times New Roman"/>
        </w:rPr>
        <w:t>n</w:t>
      </w:r>
      <w:r>
        <w:rPr>
          <w:rFonts w:ascii="Times New Roman" w:hAnsi="Times New Roman" w:cs="Times New Roman"/>
        </w:rPr>
        <w:t xml:space="preserve"> the standard to be a type of “self-evident” truth.</w:t>
      </w:r>
      <w:r>
        <w:rPr>
          <w:rStyle w:val="FootnoteReference"/>
          <w:rFonts w:ascii="Times New Roman" w:hAnsi="Times New Roman"/>
        </w:rPr>
        <w:footnoteReference w:id="254"/>
      </w:r>
    </w:p>
    <w:p w14:paraId="57DD3C45" w14:textId="77777777" w:rsidR="00DB23F8" w:rsidRPr="00053470" w:rsidRDefault="00DB23F8" w:rsidP="00DF0618">
      <w:pPr>
        <w:bidi w:val="0"/>
        <w:ind w:firstLine="720"/>
        <w:jc w:val="both"/>
        <w:rPr>
          <w:rFonts w:ascii="Times New Roman" w:hAnsi="Times New Roman" w:cs="Times New Roman"/>
          <w:rtl/>
        </w:rPr>
      </w:pPr>
      <w:r w:rsidRPr="00053470">
        <w:rPr>
          <w:rFonts w:ascii="Times New Roman" w:hAnsi="Times New Roman" w:cs="Times New Roman"/>
        </w:rPr>
        <w:t>Furthermore, while by definition the standard entails some risk of convicting the innocent, courts have stubbornly refused to quantify this risk in an explicit manner.</w:t>
      </w:r>
      <w:r w:rsidRPr="00053470">
        <w:rPr>
          <w:rStyle w:val="FootnoteReference"/>
          <w:rFonts w:ascii="Times New Roman" w:hAnsi="Times New Roman"/>
        </w:rPr>
        <w:footnoteReference w:id="255"/>
      </w:r>
      <w:r w:rsidRPr="00053470">
        <w:rPr>
          <w:rFonts w:ascii="Times New Roman" w:hAnsi="Times New Roman" w:cs="Times New Roman"/>
        </w:rPr>
        <w:t xml:space="preserve"> </w:t>
      </w:r>
      <w:r>
        <w:rPr>
          <w:rFonts w:ascii="Times New Roman" w:hAnsi="Times New Roman" w:cs="Times New Roman"/>
        </w:rPr>
        <w:t xml:space="preserve">When faced with a case in which the trial court put the standard at 75%, the Nevada Supreme Court ruled that </w:t>
      </w:r>
      <w:r w:rsidRPr="00053470">
        <w:rPr>
          <w:rFonts w:ascii="Times New Roman" w:hAnsi="Times New Roman" w:cs="Times New Roman"/>
        </w:rPr>
        <w:t>“</w:t>
      </w:r>
      <w:r>
        <w:rPr>
          <w:rFonts w:ascii="Times New Roman" w:hAnsi="Times New Roman" w:cs="Times New Roman"/>
        </w:rPr>
        <w:t>[t]</w:t>
      </w:r>
      <w:proofErr w:type="gramStart"/>
      <w:r w:rsidRPr="00053470">
        <w:rPr>
          <w:rFonts w:ascii="Times New Roman" w:hAnsi="Times New Roman" w:cs="Times New Roman"/>
        </w:rPr>
        <w:t>he</w:t>
      </w:r>
      <w:proofErr w:type="gramEnd"/>
      <w:r w:rsidRPr="00053470">
        <w:rPr>
          <w:rFonts w:ascii="Times New Roman" w:hAnsi="Times New Roman" w:cs="Times New Roman"/>
        </w:rPr>
        <w:t xml:space="preserve"> concept of reasonable doubt is inherently qualitative. Any attempt to quantify it may impermissibly lower the </w:t>
      </w:r>
      <w:r w:rsidR="00B732AE" w:rsidRPr="00053470">
        <w:rPr>
          <w:rFonts w:ascii="Times New Roman" w:hAnsi="Times New Roman" w:cs="Times New Roman"/>
        </w:rPr>
        <w:t>prosecution</w:t>
      </w:r>
      <w:r w:rsidR="00B732AE">
        <w:rPr>
          <w:rFonts w:ascii="Times New Roman" w:hAnsi="Times New Roman" w:cs="Times New Roman"/>
        </w:rPr>
        <w:t>’</w:t>
      </w:r>
      <w:r w:rsidR="00B732AE" w:rsidRPr="00053470">
        <w:rPr>
          <w:rFonts w:ascii="Times New Roman" w:hAnsi="Times New Roman" w:cs="Times New Roman"/>
        </w:rPr>
        <w:t xml:space="preserve">s </w:t>
      </w:r>
      <w:r w:rsidRPr="00053470">
        <w:rPr>
          <w:rFonts w:ascii="Times New Roman" w:hAnsi="Times New Roman" w:cs="Times New Roman"/>
        </w:rPr>
        <w:t>burden of proof and is likely to confuse rather than clarify.”</w:t>
      </w:r>
      <w:r w:rsidRPr="00053470">
        <w:rPr>
          <w:rStyle w:val="FootnoteReference"/>
          <w:rFonts w:ascii="Times New Roman" w:hAnsi="Times New Roman"/>
        </w:rPr>
        <w:footnoteReference w:id="256"/>
      </w:r>
      <w:r w:rsidRPr="00053470">
        <w:rPr>
          <w:rFonts w:ascii="Times New Roman" w:hAnsi="Times New Roman" w:cs="Times New Roman"/>
        </w:rPr>
        <w:t xml:space="preserve"> </w:t>
      </w:r>
      <w:r>
        <w:rPr>
          <w:rFonts w:ascii="Times New Roman" w:hAnsi="Times New Roman" w:cs="Times New Roman"/>
        </w:rPr>
        <w:t xml:space="preserve">Survey data also suggests that judges are opposed to quantifying the burden of proof. Professors </w:t>
      </w:r>
      <w:r w:rsidRPr="00DF0618">
        <w:rPr>
          <w:rFonts w:ascii="Times New Roman" w:hAnsi="Times New Roman" w:cs="Times New Roman"/>
        </w:rPr>
        <w:t xml:space="preserve">Rita James Simon </w:t>
      </w:r>
      <w:r>
        <w:rPr>
          <w:rFonts w:ascii="Times New Roman" w:hAnsi="Times New Roman" w:cs="Times New Roman"/>
        </w:rPr>
        <w:t>and</w:t>
      </w:r>
      <w:r w:rsidRPr="00DF0618">
        <w:rPr>
          <w:rFonts w:ascii="Times New Roman" w:hAnsi="Times New Roman" w:cs="Times New Roman"/>
        </w:rPr>
        <w:t xml:space="preserve"> Linda Mahan</w:t>
      </w:r>
      <w:r>
        <w:rPr>
          <w:rFonts w:ascii="Times New Roman" w:hAnsi="Times New Roman" w:cs="Times New Roman"/>
        </w:rPr>
        <w:t xml:space="preserve"> report that over 90% of the judges who participated in their study favored existing practices as opposed to practices that would require explicit quantification of proof.</w:t>
      </w:r>
      <w:r>
        <w:rPr>
          <w:rStyle w:val="FootnoteReference"/>
          <w:rFonts w:ascii="Times New Roman" w:hAnsi="Times New Roman"/>
        </w:rPr>
        <w:footnoteReference w:id="257"/>
      </w:r>
      <w:r>
        <w:rPr>
          <w:rFonts w:ascii="Times New Roman" w:hAnsi="Times New Roman" w:cs="Times New Roman"/>
        </w:rPr>
        <w:t xml:space="preserve"> One of the judges </w:t>
      </w:r>
      <w:proofErr w:type="gramStart"/>
      <w:r>
        <w:rPr>
          <w:rFonts w:ascii="Times New Roman" w:hAnsi="Times New Roman" w:cs="Times New Roman"/>
        </w:rPr>
        <w:t>noted that</w:t>
      </w:r>
      <w:proofErr w:type="gramEnd"/>
      <w:r>
        <w:rPr>
          <w:rFonts w:ascii="Times New Roman" w:hAnsi="Times New Roman" w:cs="Times New Roman"/>
        </w:rPr>
        <w:t xml:space="preserve"> “</w:t>
      </w:r>
      <w:r w:rsidRPr="00DF0618">
        <w:rPr>
          <w:rFonts w:ascii="Times New Roman" w:hAnsi="Times New Roman" w:cs="Times New Roman"/>
        </w:rPr>
        <w:t>[p]</w:t>
      </w:r>
      <w:proofErr w:type="spellStart"/>
      <w:r w:rsidRPr="00DF0618">
        <w:rPr>
          <w:rFonts w:ascii="Times New Roman" w:hAnsi="Times New Roman" w:cs="Times New Roman"/>
        </w:rPr>
        <w:t>ercentages</w:t>
      </w:r>
      <w:proofErr w:type="spellEnd"/>
      <w:r w:rsidRPr="00DF0618">
        <w:rPr>
          <w:rFonts w:ascii="Times New Roman" w:hAnsi="Times New Roman" w:cs="Times New Roman"/>
        </w:rPr>
        <w:t xml:space="preserve"> or probabilities simply cannot encompass all the factors, tangible and intangible, in determining guilt</w:t>
      </w:r>
      <w:r w:rsidR="00B732AE">
        <w:rPr>
          <w:rFonts w:ascii="Times New Roman" w:hAnsi="Times New Roman" w:cs="Times New Roman"/>
        </w:rPr>
        <w:t xml:space="preserve">; </w:t>
      </w:r>
      <w:r w:rsidRPr="00DF0618">
        <w:rPr>
          <w:rFonts w:ascii="Times New Roman" w:hAnsi="Times New Roman" w:cs="Times New Roman"/>
        </w:rPr>
        <w:t>evidence cannot be evaluated in such term</w:t>
      </w:r>
      <w:r w:rsidR="00B732AE">
        <w:rPr>
          <w:rFonts w:ascii="Times New Roman" w:hAnsi="Times New Roman" w:cs="Times New Roman"/>
        </w:rPr>
        <w:t>s</w:t>
      </w:r>
      <w:r w:rsidRPr="00DF0618">
        <w:rPr>
          <w:rFonts w:ascii="Times New Roman" w:hAnsi="Times New Roman" w:cs="Times New Roman"/>
        </w:rPr>
        <w:t>.</w:t>
      </w:r>
      <w:r>
        <w:rPr>
          <w:rFonts w:ascii="Times New Roman" w:hAnsi="Times New Roman" w:cs="Times New Roman"/>
        </w:rPr>
        <w:t xml:space="preserve">” This reluctance surprisingly </w:t>
      </w:r>
      <w:r w:rsidR="00B732AE">
        <w:rPr>
          <w:rFonts w:ascii="Times New Roman" w:hAnsi="Times New Roman" w:cs="Times New Roman"/>
        </w:rPr>
        <w:t>remains</w:t>
      </w:r>
      <w:r>
        <w:rPr>
          <w:rFonts w:ascii="Times New Roman" w:hAnsi="Times New Roman" w:cs="Times New Roman"/>
        </w:rPr>
        <w:t>, even in the face of empirical evidence suggesting that quantifying the burden could be useful.</w:t>
      </w:r>
      <w:r>
        <w:rPr>
          <w:rStyle w:val="FootnoteReference"/>
          <w:rFonts w:ascii="Times New Roman" w:hAnsi="Times New Roman"/>
        </w:rPr>
        <w:footnoteReference w:id="258"/>
      </w:r>
      <w:r>
        <w:rPr>
          <w:rFonts w:ascii="Times New Roman" w:hAnsi="Times New Roman" w:cs="Times New Roman"/>
        </w:rPr>
        <w:t xml:space="preserve"> </w:t>
      </w:r>
    </w:p>
    <w:p w14:paraId="5D5DF915" w14:textId="77777777" w:rsidR="00DB23F8" w:rsidRDefault="00DB23F8" w:rsidP="00E025BE">
      <w:pPr>
        <w:bidi w:val="0"/>
        <w:ind w:firstLine="720"/>
        <w:jc w:val="both"/>
        <w:rPr>
          <w:rFonts w:ascii="Times New Roman" w:hAnsi="Times New Roman" w:cs="Times New Roman"/>
        </w:rPr>
      </w:pPr>
      <w:r>
        <w:rPr>
          <w:rFonts w:ascii="Times New Roman" w:hAnsi="Times New Roman" w:cs="Times New Roman"/>
        </w:rPr>
        <w:t>The common perception of the burden of proof in criminal trials as a non-quantifiable and absolute principle that requires no reasoned justification suggests that it might reflect what social psychologists have termed protected (or sacred) values.</w:t>
      </w:r>
      <w:bookmarkStart w:id="68" w:name="_Ref432506696"/>
      <w:r w:rsidRPr="0014083A">
        <w:rPr>
          <w:rStyle w:val="FootnoteReference"/>
          <w:rFonts w:ascii="Times New Roman" w:hAnsi="Times New Roman"/>
        </w:rPr>
        <w:footnoteReference w:id="259"/>
      </w:r>
      <w:bookmarkEnd w:id="68"/>
      <w:r>
        <w:rPr>
          <w:rFonts w:ascii="Times New Roman" w:hAnsi="Times New Roman" w:cs="Times New Roman"/>
        </w:rPr>
        <w:t xml:space="preserve"> Protected values are instances in which people feel that absolute deontological rules prohibit certain actions no matter what the consequences of following those rules are.</w:t>
      </w:r>
      <w:r>
        <w:rPr>
          <w:rStyle w:val="FootnoteReference"/>
          <w:rFonts w:ascii="Times New Roman" w:hAnsi="Times New Roman"/>
        </w:rPr>
        <w:footnoteReference w:id="260"/>
      </w:r>
      <w:r>
        <w:rPr>
          <w:rFonts w:ascii="Times New Roman" w:hAnsi="Times New Roman" w:cs="Times New Roman"/>
        </w:rPr>
        <w:t xml:space="preserve"> People who hold such values tend to reject the need to conduct a cost benefit analysis with respect to them and even deny there are any costs entailed with adhering to the protected value.</w:t>
      </w:r>
      <w:r>
        <w:rPr>
          <w:rStyle w:val="FootnoteReference"/>
          <w:rFonts w:ascii="Times New Roman" w:hAnsi="Times New Roman"/>
        </w:rPr>
        <w:footnoteReference w:id="261"/>
      </w:r>
      <w:r>
        <w:rPr>
          <w:rFonts w:ascii="Times New Roman" w:hAnsi="Times New Roman" w:cs="Times New Roman"/>
        </w:rPr>
        <w:t xml:space="preserve"> </w:t>
      </w:r>
    </w:p>
    <w:p w14:paraId="7929888C" w14:textId="77777777" w:rsidR="00DB23F8" w:rsidRDefault="00DB23F8" w:rsidP="00E025BE">
      <w:pPr>
        <w:bidi w:val="0"/>
        <w:ind w:firstLine="720"/>
        <w:jc w:val="both"/>
        <w:rPr>
          <w:rFonts w:ascii="Times New Roman" w:hAnsi="Times New Roman" w:cs="Times New Roman"/>
          <w:rtl/>
        </w:rPr>
      </w:pPr>
      <w:r>
        <w:rPr>
          <w:rFonts w:ascii="Times New Roman" w:hAnsi="Times New Roman" w:cs="Times New Roman"/>
        </w:rPr>
        <w:t xml:space="preserve">When shifting from abstract philosophical debates to setting public policy, protected values raise serious problems. Protected values undermine the unavoidable tradeoffs that the real world requires making, </w:t>
      </w:r>
      <w:r w:rsidR="00FC043A">
        <w:rPr>
          <w:rFonts w:ascii="Times New Roman" w:hAnsi="Times New Roman" w:cs="Times New Roman"/>
        </w:rPr>
        <w:t xml:space="preserve">as </w:t>
      </w:r>
      <w:r>
        <w:rPr>
          <w:rFonts w:ascii="Times New Roman" w:hAnsi="Times New Roman" w:cs="Times New Roman"/>
        </w:rPr>
        <w:t xml:space="preserve">they </w:t>
      </w:r>
      <w:proofErr w:type="gramStart"/>
      <w:r>
        <w:rPr>
          <w:rFonts w:ascii="Times New Roman" w:hAnsi="Times New Roman" w:cs="Times New Roman"/>
        </w:rPr>
        <w:t>are viewed</w:t>
      </w:r>
      <w:proofErr w:type="gramEnd"/>
      <w:r>
        <w:rPr>
          <w:rFonts w:ascii="Times New Roman" w:hAnsi="Times New Roman" w:cs="Times New Roman"/>
        </w:rPr>
        <w:t xml:space="preserve"> in absolute terms.</w:t>
      </w:r>
      <w:r>
        <w:rPr>
          <w:rStyle w:val="FootnoteReference"/>
          <w:rFonts w:ascii="Times New Roman" w:hAnsi="Times New Roman"/>
        </w:rPr>
        <w:footnoteReference w:id="262"/>
      </w:r>
      <w:r>
        <w:rPr>
          <w:rFonts w:ascii="Times New Roman" w:hAnsi="Times New Roman" w:cs="Times New Roman"/>
        </w:rPr>
        <w:t xml:space="preserve"> Policymakers who need to decide whether to invest in public health programs, highway safety, saving an endangered </w:t>
      </w:r>
      <w:r>
        <w:rPr>
          <w:rFonts w:ascii="Times New Roman" w:hAnsi="Times New Roman" w:cs="Times New Roman"/>
        </w:rPr>
        <w:lastRenderedPageBreak/>
        <w:t xml:space="preserve">species, or simply balancing the budget cannot escape the need to put such goals </w:t>
      </w:r>
      <w:r w:rsidR="00FC043A">
        <w:rPr>
          <w:rFonts w:ascii="Times New Roman" w:hAnsi="Times New Roman" w:cs="Times New Roman"/>
        </w:rPr>
        <w:t xml:space="preserve">in </w:t>
      </w:r>
      <w:r>
        <w:rPr>
          <w:rFonts w:ascii="Times New Roman" w:hAnsi="Times New Roman" w:cs="Times New Roman"/>
        </w:rPr>
        <w:t xml:space="preserve">a single policy metric. Yet when doing so they need to be cautious, </w:t>
      </w:r>
      <w:r w:rsidR="00FC043A">
        <w:rPr>
          <w:rFonts w:ascii="Times New Roman" w:hAnsi="Times New Roman" w:cs="Times New Roman"/>
        </w:rPr>
        <w:t xml:space="preserve">as </w:t>
      </w:r>
      <w:r>
        <w:rPr>
          <w:rFonts w:ascii="Times New Roman" w:hAnsi="Times New Roman" w:cs="Times New Roman"/>
        </w:rPr>
        <w:t>treating a protected value like any other commensurable good is tantamount to “political suicide.”</w:t>
      </w:r>
      <w:r>
        <w:rPr>
          <w:rStyle w:val="FootnoteReference"/>
          <w:rFonts w:ascii="Times New Roman" w:hAnsi="Times New Roman"/>
        </w:rPr>
        <w:footnoteReference w:id="263"/>
      </w:r>
      <w:r>
        <w:rPr>
          <w:rFonts w:ascii="Times New Roman" w:hAnsi="Times New Roman" w:cs="Times New Roman"/>
        </w:rPr>
        <w:t xml:space="preserve"> Consequently, the public discourse surrounding protected values tends to make use of </w:t>
      </w:r>
      <w:r w:rsidRPr="00206B65">
        <w:rPr>
          <w:rFonts w:ascii="Times New Roman" w:hAnsi="Times New Roman" w:cs="Times New Roman"/>
        </w:rPr>
        <w:t>rhetorical obfuscation</w:t>
      </w:r>
      <w:r>
        <w:rPr>
          <w:rFonts w:ascii="AGaramondPro-Regular" w:hAnsi="AGaramondPro-Regular" w:cs="AGaramondPro-Regular"/>
          <w:sz w:val="20"/>
          <w:szCs w:val="20"/>
        </w:rPr>
        <w:t>.</w:t>
      </w:r>
      <w:r>
        <w:rPr>
          <w:rStyle w:val="FootnoteReference"/>
          <w:rFonts w:ascii="Times New Roman" w:hAnsi="Times New Roman"/>
        </w:rPr>
        <w:footnoteReference w:id="264"/>
      </w:r>
      <w:r>
        <w:rPr>
          <w:rFonts w:ascii="AGaramondPro-Regular" w:hAnsi="AGaramondPro-Regular" w:cs="AGaramondPro-Regular"/>
          <w:sz w:val="20"/>
          <w:szCs w:val="20"/>
        </w:rPr>
        <w:t xml:space="preserve"> </w:t>
      </w:r>
      <w:r w:rsidRPr="00206B65">
        <w:rPr>
          <w:rFonts w:ascii="Times New Roman" w:hAnsi="Times New Roman" w:cs="Times New Roman"/>
        </w:rPr>
        <w:t xml:space="preserve">Such tools enable people to “be portrayed as both unapologetic defenders of SVs </w:t>
      </w:r>
      <w:r>
        <w:rPr>
          <w:rFonts w:ascii="Times New Roman" w:hAnsi="Times New Roman" w:cs="Times New Roman"/>
        </w:rPr>
        <w:t xml:space="preserve">[sacred values – </w:t>
      </w:r>
      <w:proofErr w:type="spellStart"/>
      <w:r>
        <w:rPr>
          <w:rFonts w:ascii="Times New Roman" w:hAnsi="Times New Roman" w:cs="Times New Roman"/>
        </w:rPr>
        <w:t>d.t.</w:t>
      </w:r>
      <w:proofErr w:type="spellEnd"/>
      <w:r>
        <w:rPr>
          <w:rFonts w:ascii="Times New Roman" w:hAnsi="Times New Roman" w:cs="Times New Roman"/>
        </w:rPr>
        <w:t xml:space="preserve">] </w:t>
      </w:r>
      <w:r w:rsidRPr="00206B65">
        <w:rPr>
          <w:rFonts w:ascii="Times New Roman" w:hAnsi="Times New Roman" w:cs="Times New Roman"/>
        </w:rPr>
        <w:t>and at the same time as experts in finding ways to camouflage or overlook transgressions</w:t>
      </w:r>
      <w:r>
        <w:rPr>
          <w:rFonts w:ascii="Times New Roman" w:hAnsi="Times New Roman" w:cs="Times New Roman"/>
        </w:rPr>
        <w:t>.”</w:t>
      </w:r>
      <w:r>
        <w:rPr>
          <w:rStyle w:val="FootnoteReference"/>
          <w:rFonts w:ascii="Times New Roman" w:hAnsi="Times New Roman"/>
        </w:rPr>
        <w:footnoteReference w:id="265"/>
      </w:r>
      <w:r>
        <w:rPr>
          <w:rFonts w:ascii="Times New Roman" w:hAnsi="Times New Roman" w:cs="Times New Roman"/>
        </w:rPr>
        <w:t xml:space="preserve"> </w:t>
      </w:r>
    </w:p>
    <w:p w14:paraId="49684E9B" w14:textId="77777777" w:rsidR="00DB23F8" w:rsidRDefault="00DB23F8" w:rsidP="008263C7">
      <w:pPr>
        <w:bidi w:val="0"/>
        <w:ind w:firstLine="720"/>
        <w:jc w:val="both"/>
        <w:rPr>
          <w:rFonts w:ascii="Times New Roman" w:hAnsi="Times New Roman" w:cs="Times New Roman"/>
        </w:rPr>
      </w:pPr>
      <w:r>
        <w:rPr>
          <w:rFonts w:ascii="Times New Roman" w:hAnsi="Times New Roman" w:cs="Times New Roman"/>
        </w:rPr>
        <w:t xml:space="preserve">Professor Philip </w:t>
      </w:r>
      <w:proofErr w:type="spellStart"/>
      <w:r>
        <w:rPr>
          <w:rFonts w:ascii="Times New Roman" w:hAnsi="Times New Roman" w:cs="Times New Roman"/>
        </w:rPr>
        <w:t>Tetlock</w:t>
      </w:r>
      <w:proofErr w:type="spellEnd"/>
      <w:r>
        <w:rPr>
          <w:rFonts w:ascii="Times New Roman" w:hAnsi="Times New Roman" w:cs="Times New Roman"/>
        </w:rPr>
        <w:t xml:space="preserve"> demonstrated this point in an elegantly designed experiment in which participants </w:t>
      </w:r>
      <w:proofErr w:type="gramStart"/>
      <w:r>
        <w:rPr>
          <w:rFonts w:ascii="Times New Roman" w:hAnsi="Times New Roman" w:cs="Times New Roman"/>
        </w:rPr>
        <w:t>were asked</w:t>
      </w:r>
      <w:proofErr w:type="gramEnd"/>
      <w:r>
        <w:rPr>
          <w:rFonts w:ascii="Times New Roman" w:hAnsi="Times New Roman" w:cs="Times New Roman"/>
        </w:rPr>
        <w:t xml:space="preserve"> to evaluate a governmental decision to cut the budget of a lifesaving program and shift the money to reducing the deficit, lowering taxes, and funding programs that will stimulate the economy.</w:t>
      </w:r>
      <w:r>
        <w:rPr>
          <w:rStyle w:val="FootnoteReference"/>
          <w:rFonts w:ascii="Times New Roman" w:hAnsi="Times New Roman"/>
        </w:rPr>
        <w:footnoteReference w:id="266"/>
      </w:r>
      <w:r>
        <w:rPr>
          <w:rFonts w:ascii="Times New Roman" w:hAnsi="Times New Roman" w:cs="Times New Roman"/>
        </w:rPr>
        <w:t xml:space="preserve"> Participants in one condition evaluated this question after </w:t>
      </w:r>
      <w:proofErr w:type="gramStart"/>
      <w:r>
        <w:rPr>
          <w:rFonts w:ascii="Times New Roman" w:hAnsi="Times New Roman" w:cs="Times New Roman"/>
        </w:rPr>
        <w:t>being informed</w:t>
      </w:r>
      <w:proofErr w:type="gramEnd"/>
      <w:r>
        <w:rPr>
          <w:rFonts w:ascii="Times New Roman" w:hAnsi="Times New Roman" w:cs="Times New Roman"/>
        </w:rPr>
        <w:t xml:space="preserve"> that it is was found that the shift in resources is the morally right thing to do. Participants in the second condition evaluated the very same question after being informed that the shift of resources is grounded in the high cost-per-life-saved of the program. As the results show, the use of deontic rhetoric brought about a significant increase in support </w:t>
      </w:r>
      <w:r w:rsidR="00FC043A">
        <w:rPr>
          <w:rFonts w:ascii="Times New Roman" w:hAnsi="Times New Roman" w:cs="Times New Roman"/>
        </w:rPr>
        <w:t xml:space="preserve">of </w:t>
      </w:r>
      <w:r>
        <w:rPr>
          <w:rFonts w:ascii="Times New Roman" w:hAnsi="Times New Roman" w:cs="Times New Roman"/>
        </w:rPr>
        <w:t>the budget shift. Whereas support was around 35% in the cost</w:t>
      </w:r>
      <w:r w:rsidR="00FC043A">
        <w:rPr>
          <w:rFonts w:ascii="Times New Roman" w:hAnsi="Times New Roman" w:cs="Times New Roman"/>
        </w:rPr>
        <w:t>–</w:t>
      </w:r>
      <w:r>
        <w:rPr>
          <w:rFonts w:ascii="Times New Roman" w:hAnsi="Times New Roman" w:cs="Times New Roman"/>
        </w:rPr>
        <w:t xml:space="preserve">benefit condition, support soared to 72% in the moral condition. </w:t>
      </w:r>
    </w:p>
    <w:p w14:paraId="419C71F1" w14:textId="77777777" w:rsidR="00DB23F8" w:rsidRPr="0014083A" w:rsidRDefault="00DB23F8" w:rsidP="00CA13DC">
      <w:pPr>
        <w:bidi w:val="0"/>
        <w:ind w:firstLine="720"/>
        <w:jc w:val="both"/>
        <w:rPr>
          <w:rFonts w:ascii="Times New Roman" w:hAnsi="Times New Roman" w:cs="Times New Roman"/>
        </w:rPr>
      </w:pPr>
      <w:r>
        <w:rPr>
          <w:rFonts w:ascii="Times New Roman" w:hAnsi="Times New Roman" w:cs="Times New Roman"/>
        </w:rPr>
        <w:t>Viewing the burden of proof as a protected value suggests that the political discussion surrounding it cannot be a simple cost</w:t>
      </w:r>
      <w:r w:rsidR="00FC043A">
        <w:rPr>
          <w:rFonts w:ascii="Times New Roman" w:hAnsi="Times New Roman" w:cs="Times New Roman"/>
        </w:rPr>
        <w:t>–</w:t>
      </w:r>
      <w:r>
        <w:rPr>
          <w:rFonts w:ascii="Times New Roman" w:hAnsi="Times New Roman" w:cs="Times New Roman"/>
        </w:rPr>
        <w:t xml:space="preserve">benefit analysis. True, people want to deter and incapacitate dangerous offenders, yet they are unwilling to conduct an explicitly quantifiable tradeoff between punishing the innocent and achieving those goals. Adjusting sanctions to the degree of certainty of guilt through the substantive norms of criminal law </w:t>
      </w:r>
      <w:r w:rsidRPr="0014083A">
        <w:rPr>
          <w:rFonts w:ascii="Times New Roman" w:hAnsi="Times New Roman" w:cs="Times New Roman"/>
        </w:rPr>
        <w:t xml:space="preserve">enables </w:t>
      </w:r>
      <w:r>
        <w:rPr>
          <w:rFonts w:ascii="Times New Roman" w:hAnsi="Times New Roman" w:cs="Times New Roman"/>
        </w:rPr>
        <w:t>people “to have their non-utilitarian cake and eat it too.”</w:t>
      </w:r>
      <w:r>
        <w:rPr>
          <w:rStyle w:val="FootnoteReference"/>
          <w:rFonts w:ascii="Times New Roman" w:hAnsi="Times New Roman"/>
        </w:rPr>
        <w:footnoteReference w:id="267"/>
      </w:r>
      <w:r>
        <w:rPr>
          <w:rFonts w:ascii="Times New Roman" w:hAnsi="Times New Roman" w:cs="Times New Roman"/>
        </w:rPr>
        <w:t xml:space="preserve"> </w:t>
      </w:r>
      <w:r w:rsidRPr="0014083A">
        <w:rPr>
          <w:rFonts w:ascii="Times New Roman" w:hAnsi="Times New Roman" w:cs="Times New Roman"/>
        </w:rPr>
        <w:t xml:space="preserve">While all criminals </w:t>
      </w:r>
      <w:r>
        <w:rPr>
          <w:rFonts w:ascii="Times New Roman" w:hAnsi="Times New Roman" w:cs="Times New Roman"/>
        </w:rPr>
        <w:t xml:space="preserve">under this regime </w:t>
      </w:r>
      <w:r w:rsidRPr="0014083A">
        <w:rPr>
          <w:rFonts w:ascii="Times New Roman" w:hAnsi="Times New Roman" w:cs="Times New Roman"/>
        </w:rPr>
        <w:t xml:space="preserve">are punished if and only if their </w:t>
      </w:r>
      <w:r>
        <w:rPr>
          <w:rFonts w:ascii="Times New Roman" w:hAnsi="Times New Roman" w:cs="Times New Roman"/>
        </w:rPr>
        <w:t>guilt</w:t>
      </w:r>
      <w:r w:rsidRPr="0014083A">
        <w:rPr>
          <w:rFonts w:ascii="Times New Roman" w:hAnsi="Times New Roman" w:cs="Times New Roman"/>
        </w:rPr>
        <w:t xml:space="preserve"> </w:t>
      </w:r>
      <w:r w:rsidR="00FC043A">
        <w:rPr>
          <w:rFonts w:ascii="Times New Roman" w:hAnsi="Times New Roman" w:cs="Times New Roman"/>
        </w:rPr>
        <w:t xml:space="preserve">has been </w:t>
      </w:r>
      <w:r w:rsidRPr="0014083A">
        <w:rPr>
          <w:rFonts w:ascii="Times New Roman" w:hAnsi="Times New Roman" w:cs="Times New Roman"/>
        </w:rPr>
        <w:t xml:space="preserve">proven beyond a reasonable doubt, by relaxing the substantive demands for a </w:t>
      </w:r>
      <w:proofErr w:type="gramStart"/>
      <w:r w:rsidRPr="0014083A">
        <w:rPr>
          <w:rFonts w:ascii="Times New Roman" w:hAnsi="Times New Roman" w:cs="Times New Roman"/>
        </w:rPr>
        <w:t>conviction</w:t>
      </w:r>
      <w:proofErr w:type="gramEnd"/>
      <w:r w:rsidRPr="0014083A">
        <w:rPr>
          <w:rFonts w:ascii="Times New Roman" w:hAnsi="Times New Roman" w:cs="Times New Roman"/>
        </w:rPr>
        <w:t xml:space="preserve"> the effective burden of proof is reduced and a different balance between type 1 and type 2 errors is str</w:t>
      </w:r>
      <w:r w:rsidR="00FC043A">
        <w:rPr>
          <w:rFonts w:ascii="Times New Roman" w:hAnsi="Times New Roman" w:cs="Times New Roman"/>
        </w:rPr>
        <w:t>uck</w:t>
      </w:r>
      <w:r w:rsidRPr="0014083A">
        <w:rPr>
          <w:rFonts w:ascii="Times New Roman" w:hAnsi="Times New Roman" w:cs="Times New Roman"/>
        </w:rPr>
        <w:t xml:space="preserve">. </w:t>
      </w:r>
    </w:p>
    <w:p w14:paraId="29CBF807" w14:textId="77777777" w:rsidR="00DB23F8" w:rsidRPr="004018D5" w:rsidRDefault="00DB23F8" w:rsidP="00F32C14">
      <w:pPr>
        <w:bidi w:val="0"/>
        <w:ind w:firstLine="720"/>
        <w:jc w:val="both"/>
        <w:rPr>
          <w:rFonts w:ascii="Times New Roman" w:hAnsi="Times New Roman" w:cs="Times New Roman"/>
        </w:rPr>
      </w:pPr>
      <w:r>
        <w:rPr>
          <w:rFonts w:ascii="Times New Roman" w:hAnsi="Times New Roman" w:cs="Times New Roman"/>
        </w:rPr>
        <w:t xml:space="preserve">To be sure, while categorizing the beyond reasonable doubt standard as a protected value helps elucidate the unique path that the law took in this </w:t>
      </w:r>
      <w:proofErr w:type="gramStart"/>
      <w:r>
        <w:rPr>
          <w:rFonts w:ascii="Times New Roman" w:hAnsi="Times New Roman" w:cs="Times New Roman"/>
        </w:rPr>
        <w:t>area</w:t>
      </w:r>
      <w:r w:rsidR="00CD49F1">
        <w:rPr>
          <w:rFonts w:ascii="Times New Roman" w:hAnsi="Times New Roman" w:cs="Times New Roman"/>
        </w:rPr>
        <w:t>,</w:t>
      </w:r>
      <w:proofErr w:type="gramEnd"/>
      <w:r w:rsidR="00CD49F1">
        <w:rPr>
          <w:rFonts w:ascii="Times New Roman" w:hAnsi="Times New Roman" w:cs="Times New Roman"/>
        </w:rPr>
        <w:t xml:space="preserve"> </w:t>
      </w:r>
      <w:r>
        <w:rPr>
          <w:rFonts w:ascii="Times New Roman" w:hAnsi="Times New Roman" w:cs="Times New Roman"/>
        </w:rPr>
        <w:t xml:space="preserve">it does little to resolve the related normative questions. On one hand, one can view protected values and the rhetorical maneuvers conducted to circumvent them as a type of bias that stands in the way of </w:t>
      </w:r>
      <w:r w:rsidR="00CD49F1">
        <w:rPr>
          <w:rFonts w:ascii="Times New Roman" w:hAnsi="Times New Roman" w:cs="Times New Roman"/>
        </w:rPr>
        <w:t xml:space="preserve">a </w:t>
      </w:r>
      <w:r>
        <w:rPr>
          <w:rFonts w:ascii="Times New Roman" w:hAnsi="Times New Roman" w:cs="Times New Roman"/>
        </w:rPr>
        <w:t>reasoned analysis of difficult policy questions.</w:t>
      </w:r>
      <w:r>
        <w:rPr>
          <w:rStyle w:val="FootnoteReference"/>
          <w:rFonts w:ascii="Times New Roman" w:hAnsi="Times New Roman"/>
        </w:rPr>
        <w:footnoteReference w:id="268"/>
      </w:r>
      <w:r>
        <w:rPr>
          <w:rFonts w:ascii="Times New Roman" w:hAnsi="Times New Roman" w:cs="Times New Roman"/>
        </w:rPr>
        <w:t xml:space="preserve"> On the other hand, one can view protected values as a subtle tool that helps prevent the subversion of meaningful cultural institutions.</w:t>
      </w:r>
      <w:r>
        <w:rPr>
          <w:rStyle w:val="FootnoteReference"/>
          <w:rFonts w:ascii="Times New Roman" w:hAnsi="Times New Roman"/>
        </w:rPr>
        <w:footnoteReference w:id="269"/>
      </w:r>
      <w:r>
        <w:rPr>
          <w:rFonts w:ascii="Times New Roman" w:hAnsi="Times New Roman" w:cs="Times New Roman"/>
        </w:rPr>
        <w:t xml:space="preserve"> The next two subsections </w:t>
      </w:r>
      <w:r w:rsidR="00CD49F1">
        <w:rPr>
          <w:rFonts w:ascii="Times New Roman" w:hAnsi="Times New Roman" w:cs="Times New Roman"/>
        </w:rPr>
        <w:t>therefore</w:t>
      </w:r>
      <w:r>
        <w:rPr>
          <w:rFonts w:ascii="Times New Roman" w:hAnsi="Times New Roman" w:cs="Times New Roman"/>
        </w:rPr>
        <w:t xml:space="preserve"> explore the benefits of dealing with evidentiary uncertainty through </w:t>
      </w:r>
      <w:r>
        <w:rPr>
          <w:rFonts w:ascii="Times New Roman" w:hAnsi="Times New Roman" w:cs="Times New Roman"/>
        </w:rPr>
        <w:lastRenderedPageBreak/>
        <w:t xml:space="preserve">substantive norms from the perspective of two central normative theories of criminal law: consequentialist theories and expressivist theories. </w:t>
      </w:r>
    </w:p>
    <w:p w14:paraId="10F6F758" w14:textId="77777777" w:rsidR="00DB23F8" w:rsidRPr="004E58F5" w:rsidRDefault="00DB23F8" w:rsidP="000916AE">
      <w:pPr>
        <w:pStyle w:val="ListParagraph"/>
        <w:numPr>
          <w:ilvl w:val="0"/>
          <w:numId w:val="9"/>
        </w:numPr>
        <w:bidi w:val="0"/>
        <w:jc w:val="both"/>
        <w:rPr>
          <w:rFonts w:ascii="Times New Roman" w:hAnsi="Times New Roman" w:cs="Times New Roman"/>
          <w:i/>
          <w:iCs/>
        </w:rPr>
      </w:pPr>
      <w:r w:rsidRPr="004E58F5">
        <w:rPr>
          <w:rFonts w:ascii="Times New Roman" w:hAnsi="Times New Roman" w:cs="Times New Roman"/>
          <w:i/>
          <w:iCs/>
        </w:rPr>
        <w:t xml:space="preserve">The Consequentialist Perspective: Tailoring the Burden of Proof to </w:t>
      </w:r>
      <w:r w:rsidR="00CD49F1" w:rsidRPr="004E58F5">
        <w:rPr>
          <w:rFonts w:ascii="Times New Roman" w:hAnsi="Times New Roman" w:cs="Times New Roman"/>
          <w:i/>
          <w:iCs/>
        </w:rPr>
        <w:t xml:space="preserve">Fit </w:t>
      </w:r>
      <w:r w:rsidRPr="004E58F5">
        <w:rPr>
          <w:rFonts w:ascii="Times New Roman" w:hAnsi="Times New Roman" w:cs="Times New Roman"/>
          <w:i/>
          <w:iCs/>
        </w:rPr>
        <w:t>the Context</w:t>
      </w:r>
    </w:p>
    <w:p w14:paraId="6D7B936D" w14:textId="77777777" w:rsidR="00DB23F8" w:rsidRDefault="00DB23F8" w:rsidP="00A81413">
      <w:pPr>
        <w:bidi w:val="0"/>
        <w:ind w:firstLine="720"/>
        <w:jc w:val="both"/>
        <w:rPr>
          <w:rFonts w:ascii="Times New Roman" w:hAnsi="Times New Roman" w:cs="Times New Roman"/>
        </w:rPr>
      </w:pPr>
      <w:r w:rsidRPr="004E716C">
        <w:rPr>
          <w:rFonts w:ascii="Times New Roman" w:hAnsi="Times New Roman" w:cs="Times New Roman"/>
        </w:rPr>
        <w:t>As</w:t>
      </w:r>
      <w:r>
        <w:rPr>
          <w:rFonts w:ascii="Times New Roman" w:hAnsi="Times New Roman" w:cs="Times New Roman"/>
        </w:rPr>
        <w:t xml:space="preserve"> the discussion above suggested, the concept off a one-size-fit-all burden of proof is difficult to defend within a framework that focuses on setting ex ante incentives properly </w:t>
      </w:r>
      <w:r w:rsidR="00CD49F1">
        <w:rPr>
          <w:rFonts w:ascii="Times New Roman" w:hAnsi="Times New Roman" w:cs="Times New Roman"/>
        </w:rPr>
        <w:t xml:space="preserve">because </w:t>
      </w:r>
      <w:r>
        <w:rPr>
          <w:rFonts w:ascii="Times New Roman" w:hAnsi="Times New Roman" w:cs="Times New Roman"/>
        </w:rPr>
        <w:t>the benefits of deterrence and the risk of chilling differ between policy domains.</w:t>
      </w:r>
      <w:r>
        <w:rPr>
          <w:rStyle w:val="FootnoteReference"/>
          <w:rFonts w:ascii="Times New Roman" w:hAnsi="Times New Roman"/>
        </w:rPr>
        <w:footnoteReference w:id="270"/>
      </w:r>
      <w:r>
        <w:rPr>
          <w:rFonts w:ascii="Times New Roman" w:hAnsi="Times New Roman" w:cs="Times New Roman"/>
        </w:rPr>
        <w:t xml:space="preserve"> Furthermore, once incapacitation </w:t>
      </w:r>
      <w:proofErr w:type="gramStart"/>
      <w:r>
        <w:rPr>
          <w:rFonts w:ascii="Times New Roman" w:hAnsi="Times New Roman" w:cs="Times New Roman"/>
        </w:rPr>
        <w:t>is inserted</w:t>
      </w:r>
      <w:proofErr w:type="gramEnd"/>
      <w:r>
        <w:rPr>
          <w:rFonts w:ascii="Times New Roman" w:hAnsi="Times New Roman" w:cs="Times New Roman"/>
        </w:rPr>
        <w:t xml:space="preserve"> into the policy debate, the need to grade penalties between subject areas is only </w:t>
      </w:r>
      <w:r w:rsidRPr="00A10F1D">
        <w:rPr>
          <w:rFonts w:ascii="Times New Roman" w:hAnsi="Times New Roman" w:cs="Times New Roman"/>
        </w:rPr>
        <w:t>intensified</w:t>
      </w:r>
      <w:r>
        <w:rPr>
          <w:rFonts w:ascii="Times New Roman" w:hAnsi="Times New Roman" w:cs="Times New Roman"/>
        </w:rPr>
        <w:t xml:space="preserve">. The incapacitation calculous requires taking into account the costs associated with incapacitating criminals and the benefits generated by removing offenders from society. Both sides of this equation are not constant across criminal contexts. The costs of incarceration vary significantly depending on the level of security required. Housing an inmate in a maximum-security prison (or its more extreme version—a </w:t>
      </w:r>
      <w:proofErr w:type="spellStart"/>
      <w:r>
        <w:rPr>
          <w:rFonts w:ascii="Times New Roman" w:hAnsi="Times New Roman" w:cs="Times New Roman"/>
        </w:rPr>
        <w:t>supermax</w:t>
      </w:r>
      <w:proofErr w:type="spellEnd"/>
      <w:r>
        <w:rPr>
          <w:rFonts w:ascii="Times New Roman" w:hAnsi="Times New Roman" w:cs="Times New Roman"/>
        </w:rPr>
        <w:t xml:space="preserve"> prison) can cost two to three times more than housing an inmate in a regular prison.</w:t>
      </w:r>
      <w:r>
        <w:rPr>
          <w:rStyle w:val="FootnoteReference"/>
          <w:rFonts w:ascii="Times New Roman" w:hAnsi="Times New Roman"/>
        </w:rPr>
        <w:footnoteReference w:id="271"/>
      </w:r>
      <w:r>
        <w:rPr>
          <w:rFonts w:ascii="Times New Roman" w:hAnsi="Times New Roman" w:cs="Times New Roman"/>
        </w:rPr>
        <w:t xml:space="preserve"> Similarly, different crimes entail distinct social costs, and </w:t>
      </w:r>
      <w:r w:rsidR="009C1546">
        <w:rPr>
          <w:rFonts w:ascii="Times New Roman" w:hAnsi="Times New Roman" w:cs="Times New Roman"/>
        </w:rPr>
        <w:t xml:space="preserve">therefore </w:t>
      </w:r>
      <w:r>
        <w:rPr>
          <w:rFonts w:ascii="Times New Roman" w:hAnsi="Times New Roman" w:cs="Times New Roman"/>
        </w:rPr>
        <w:t xml:space="preserve">the benefits generated by incarceration </w:t>
      </w:r>
      <w:r w:rsidR="009C1546">
        <w:rPr>
          <w:rFonts w:ascii="Times New Roman" w:hAnsi="Times New Roman" w:cs="Times New Roman"/>
        </w:rPr>
        <w:t xml:space="preserve">are </w:t>
      </w:r>
      <w:r>
        <w:rPr>
          <w:rFonts w:ascii="Times New Roman" w:hAnsi="Times New Roman" w:cs="Times New Roman"/>
        </w:rPr>
        <w:t>context</w:t>
      </w:r>
      <w:r w:rsidR="009C1546">
        <w:rPr>
          <w:rFonts w:ascii="Times New Roman" w:hAnsi="Times New Roman" w:cs="Times New Roman"/>
        </w:rPr>
        <w:t>-</w:t>
      </w:r>
      <w:r>
        <w:rPr>
          <w:rFonts w:ascii="Times New Roman" w:hAnsi="Times New Roman" w:cs="Times New Roman"/>
        </w:rPr>
        <w:t xml:space="preserve">dependent as well. </w:t>
      </w:r>
    </w:p>
    <w:p w14:paraId="38D3C019" w14:textId="44F242B4" w:rsidR="00DB23F8" w:rsidRDefault="00DB23F8" w:rsidP="00F12764">
      <w:pPr>
        <w:bidi w:val="0"/>
        <w:ind w:firstLine="720"/>
        <w:jc w:val="both"/>
        <w:rPr>
          <w:rFonts w:ascii="Times New Roman" w:hAnsi="Times New Roman" w:cs="Times New Roman"/>
        </w:rPr>
      </w:pPr>
      <w:r>
        <w:rPr>
          <w:rFonts w:ascii="Times New Roman" w:hAnsi="Times New Roman" w:cs="Times New Roman"/>
        </w:rPr>
        <w:t xml:space="preserve">Calibrating sanctions in accordance with the strength of the evidence via the substantive rules of criminal law allows differentiating the burden of proof between distinct policy domains. In areas in which the need to deter wrongful behavior or incapacitate dangerous individuals dominates, a low threshold for a conviction can be adopted by broadening the scope of criminal law. In other cases in which the risk of chilling benign behavior is of greater concern, criminal liability </w:t>
      </w:r>
      <w:proofErr w:type="gramStart"/>
      <w:r>
        <w:rPr>
          <w:rFonts w:ascii="Times New Roman" w:hAnsi="Times New Roman" w:cs="Times New Roman"/>
        </w:rPr>
        <w:t>can be defined</w:t>
      </w:r>
      <w:proofErr w:type="gramEnd"/>
      <w:r>
        <w:rPr>
          <w:rFonts w:ascii="Times New Roman" w:hAnsi="Times New Roman" w:cs="Times New Roman"/>
        </w:rPr>
        <w:t xml:space="preserve"> narrowly. In addition, by calibrating the penalties in specific low-graded </w:t>
      </w:r>
      <w:r w:rsidR="00296EC3">
        <w:rPr>
          <w:rFonts w:ascii="Times New Roman" w:hAnsi="Times New Roman" w:cs="Times New Roman"/>
        </w:rPr>
        <w:t>offenses</w:t>
      </w:r>
      <w:r w:rsidR="00DE2CFB">
        <w:rPr>
          <w:rFonts w:ascii="Times New Roman" w:hAnsi="Times New Roman" w:cs="Times New Roman"/>
        </w:rPr>
        <w:t>,</w:t>
      </w:r>
      <w:r>
        <w:rPr>
          <w:rFonts w:ascii="Times New Roman" w:hAnsi="Times New Roman" w:cs="Times New Roman"/>
        </w:rPr>
        <w:t xml:space="preserve"> the legislature can further fine-tune the balance between deterrence, incapacitation</w:t>
      </w:r>
      <w:r w:rsidR="00DE2CFB">
        <w:rPr>
          <w:rFonts w:ascii="Times New Roman" w:hAnsi="Times New Roman" w:cs="Times New Roman"/>
        </w:rPr>
        <w:t>,</w:t>
      </w:r>
      <w:r>
        <w:rPr>
          <w:rFonts w:ascii="Times New Roman" w:hAnsi="Times New Roman" w:cs="Times New Roman"/>
        </w:rPr>
        <w:t xml:space="preserve"> and chilling benign behavior.</w:t>
      </w:r>
    </w:p>
    <w:p w14:paraId="2E7D5088" w14:textId="77777777" w:rsidR="00DB23F8" w:rsidRDefault="00DB23F8" w:rsidP="00B81348">
      <w:pPr>
        <w:bidi w:val="0"/>
        <w:ind w:firstLine="720"/>
        <w:jc w:val="both"/>
        <w:rPr>
          <w:rFonts w:ascii="Times New Roman" w:hAnsi="Times New Roman" w:cs="Times New Roman"/>
        </w:rPr>
      </w:pPr>
      <w:r>
        <w:rPr>
          <w:rFonts w:ascii="Times New Roman" w:hAnsi="Times New Roman" w:cs="Times New Roman"/>
        </w:rPr>
        <w:t xml:space="preserve">The regulation of sex crimes that target children can serve as a case in point. Sex crimes against children are of significant concern to legislatures given </w:t>
      </w:r>
      <w:r w:rsidR="00DE2CFB">
        <w:rPr>
          <w:rFonts w:ascii="Times New Roman" w:hAnsi="Times New Roman" w:cs="Times New Roman"/>
        </w:rPr>
        <w:t xml:space="preserve">the </w:t>
      </w:r>
      <w:r>
        <w:rPr>
          <w:rFonts w:ascii="Times New Roman" w:hAnsi="Times New Roman" w:cs="Times New Roman"/>
        </w:rPr>
        <w:t>tremendous harm such crimes cause their victims.</w:t>
      </w:r>
      <w:r>
        <w:rPr>
          <w:rStyle w:val="FootnoteReference"/>
          <w:rFonts w:ascii="Times New Roman" w:hAnsi="Times New Roman"/>
        </w:rPr>
        <w:footnoteReference w:id="272"/>
      </w:r>
      <w:r>
        <w:rPr>
          <w:rFonts w:ascii="Times New Roman" w:hAnsi="Times New Roman" w:cs="Times New Roman"/>
        </w:rPr>
        <w:t xml:space="preserve"> Furthermore, in some cases criminalizing behavior related to having sex with children does not risk chilling socially desirable behavior. Society may judge that in instances in which an offender </w:t>
      </w:r>
      <w:r w:rsidR="007409FF">
        <w:rPr>
          <w:rFonts w:ascii="Times New Roman" w:hAnsi="Times New Roman" w:cs="Times New Roman"/>
        </w:rPr>
        <w:t xml:space="preserve">pursues </w:t>
      </w:r>
      <w:r>
        <w:rPr>
          <w:rFonts w:ascii="Times New Roman" w:hAnsi="Times New Roman" w:cs="Times New Roman"/>
        </w:rPr>
        <w:t xml:space="preserve">sexual contact with an eight-year-old victim there is simply no </w:t>
      </w:r>
      <w:r w:rsidRPr="00826EBA">
        <w:rPr>
          <w:rFonts w:ascii="Times New Roman" w:hAnsi="Times New Roman" w:cs="Times New Roman"/>
        </w:rPr>
        <w:t>concern that sanctions will inhibit legitimate</w:t>
      </w:r>
      <w:r>
        <w:rPr>
          <w:rFonts w:ascii="Times New Roman" w:hAnsi="Times New Roman" w:cs="Times New Roman"/>
        </w:rPr>
        <w:t xml:space="preserve"> behavior. </w:t>
      </w:r>
    </w:p>
    <w:p w14:paraId="188735E5" w14:textId="77777777" w:rsidR="00DB23F8" w:rsidRDefault="00DE2CFB" w:rsidP="005F215C">
      <w:pPr>
        <w:bidi w:val="0"/>
        <w:ind w:firstLine="720"/>
        <w:jc w:val="both"/>
        <w:rPr>
          <w:rFonts w:ascii="Times New Roman" w:hAnsi="Times New Roman" w:cs="Times New Roman"/>
        </w:rPr>
      </w:pPr>
      <w:r>
        <w:rPr>
          <w:rFonts w:ascii="Times New Roman" w:hAnsi="Times New Roman" w:cs="Times New Roman"/>
        </w:rPr>
        <w:t>Against</w:t>
      </w:r>
      <w:r w:rsidRPr="003211AA">
        <w:rPr>
          <w:rFonts w:ascii="Times New Roman" w:hAnsi="Times New Roman" w:cs="Times New Roman"/>
        </w:rPr>
        <w:t xml:space="preserve"> </w:t>
      </w:r>
      <w:r w:rsidR="00DB23F8" w:rsidRPr="003211AA">
        <w:rPr>
          <w:rFonts w:ascii="Times New Roman" w:hAnsi="Times New Roman" w:cs="Times New Roman"/>
        </w:rPr>
        <w:t xml:space="preserve">this backdrop, one can view </w:t>
      </w:r>
      <w:r>
        <w:rPr>
          <w:rFonts w:ascii="Times New Roman" w:hAnsi="Times New Roman" w:cs="Times New Roman"/>
        </w:rPr>
        <w:t xml:space="preserve">the </w:t>
      </w:r>
      <w:r w:rsidR="00DB23F8" w:rsidRPr="003211AA">
        <w:rPr>
          <w:rFonts w:ascii="Times New Roman" w:hAnsi="Times New Roman" w:cs="Times New Roman"/>
        </w:rPr>
        <w:t>provisions of the federal Protection of Children from Sex</w:t>
      </w:r>
      <w:r w:rsidR="00DB23F8" w:rsidRPr="00B8526D">
        <w:rPr>
          <w:rFonts w:ascii="Times New Roman" w:hAnsi="Times New Roman" w:cs="Times New Roman"/>
        </w:rPr>
        <w:t>ual Predators Act</w:t>
      </w:r>
      <w:r w:rsidR="00DB23F8" w:rsidRPr="003211AA">
        <w:rPr>
          <w:rFonts w:ascii="Times New Roman" w:hAnsi="Times New Roman" w:cs="Times New Roman"/>
        </w:rPr>
        <w:t xml:space="preserve"> as geared towards reducing the burden of proof in this narrow category of crimes. </w:t>
      </w:r>
      <w:r w:rsidR="00DB23F8">
        <w:rPr>
          <w:rFonts w:ascii="Times New Roman" w:hAnsi="Times New Roman" w:cs="Times New Roman"/>
        </w:rPr>
        <w:t>More specifically, §</w:t>
      </w:r>
      <w:r w:rsidR="00DB23F8" w:rsidRPr="003211AA">
        <w:rPr>
          <w:rFonts w:ascii="Times New Roman" w:hAnsi="Times New Roman" w:cs="Times New Roman"/>
        </w:rPr>
        <w:t xml:space="preserve">2422(b) of the act criminalizes </w:t>
      </w:r>
      <w:r>
        <w:rPr>
          <w:rFonts w:ascii="Times New Roman" w:hAnsi="Times New Roman" w:cs="Times New Roman"/>
        </w:rPr>
        <w:t>I</w:t>
      </w:r>
      <w:r w:rsidRPr="003211AA">
        <w:rPr>
          <w:rFonts w:ascii="Times New Roman" w:hAnsi="Times New Roman" w:cs="Times New Roman"/>
        </w:rPr>
        <w:t xml:space="preserve">nternet </w:t>
      </w:r>
      <w:r w:rsidR="00DB23F8" w:rsidRPr="003211AA">
        <w:rPr>
          <w:rFonts w:ascii="Times New Roman" w:hAnsi="Times New Roman" w:cs="Times New Roman"/>
        </w:rPr>
        <w:t xml:space="preserve">and phone communications aimed </w:t>
      </w:r>
      <w:r>
        <w:rPr>
          <w:rFonts w:ascii="Times New Roman" w:hAnsi="Times New Roman" w:cs="Times New Roman"/>
        </w:rPr>
        <w:t>at</w:t>
      </w:r>
      <w:r w:rsidRPr="003211AA">
        <w:rPr>
          <w:rFonts w:ascii="Times New Roman" w:hAnsi="Times New Roman" w:cs="Times New Roman"/>
        </w:rPr>
        <w:t xml:space="preserve"> </w:t>
      </w:r>
      <w:r w:rsidR="00DB23F8" w:rsidRPr="003211AA">
        <w:rPr>
          <w:rFonts w:ascii="Times New Roman" w:hAnsi="Times New Roman" w:cs="Times New Roman"/>
        </w:rPr>
        <w:t>entic</w:t>
      </w:r>
      <w:r>
        <w:rPr>
          <w:rFonts w:ascii="Times New Roman" w:hAnsi="Times New Roman" w:cs="Times New Roman"/>
        </w:rPr>
        <w:t xml:space="preserve">ing </w:t>
      </w:r>
      <w:r w:rsidR="00DB23F8" w:rsidRPr="003211AA">
        <w:rPr>
          <w:rFonts w:ascii="Times New Roman" w:hAnsi="Times New Roman" w:cs="Times New Roman"/>
        </w:rPr>
        <w:t xml:space="preserve">children to engage in prostitution or sexual activities. According </w:t>
      </w:r>
      <w:r w:rsidR="00DB23F8">
        <w:rPr>
          <w:rFonts w:ascii="Times New Roman" w:hAnsi="Times New Roman" w:cs="Times New Roman"/>
        </w:rPr>
        <w:t>to one court,</w:t>
      </w:r>
      <w:r w:rsidR="00DB23F8" w:rsidRPr="003211AA">
        <w:rPr>
          <w:rFonts w:ascii="Times New Roman" w:hAnsi="Times New Roman" w:cs="Times New Roman"/>
        </w:rPr>
        <w:t xml:space="preserve"> posting </w:t>
      </w:r>
      <w:r w:rsidR="00DB23F8" w:rsidRPr="003211AA">
        <w:rPr>
          <w:rStyle w:val="documentbody"/>
          <w:rFonts w:ascii="Times New Roman" w:hAnsi="Times New Roman"/>
        </w:rPr>
        <w:t>an advertisement on Craigslist seeking sexual contact with children is sufficient to co</w:t>
      </w:r>
      <w:r w:rsidR="00DB23F8">
        <w:rPr>
          <w:rStyle w:val="documentbody"/>
          <w:rFonts w:ascii="Times New Roman" w:hAnsi="Times New Roman"/>
        </w:rPr>
        <w:t>nvict the posting individual of</w:t>
      </w:r>
      <w:r w:rsidR="00DB23F8" w:rsidRPr="003211AA">
        <w:rPr>
          <w:rStyle w:val="documentbody"/>
          <w:rFonts w:ascii="Times New Roman" w:hAnsi="Times New Roman"/>
        </w:rPr>
        <w:t xml:space="preserve"> a crime according to §</w:t>
      </w:r>
      <w:r w:rsidR="00DB23F8" w:rsidRPr="003211AA">
        <w:rPr>
          <w:rFonts w:ascii="Times New Roman" w:hAnsi="Times New Roman" w:cs="Times New Roman"/>
        </w:rPr>
        <w:t>2422(b).</w:t>
      </w:r>
      <w:r w:rsidR="00DB23F8" w:rsidRPr="003211AA">
        <w:rPr>
          <w:rStyle w:val="FootnoteReference"/>
          <w:rFonts w:ascii="Times New Roman" w:hAnsi="Times New Roman"/>
        </w:rPr>
        <w:footnoteReference w:id="273"/>
      </w:r>
      <w:r w:rsidR="00DB23F8" w:rsidRPr="003211AA">
        <w:rPr>
          <w:rFonts w:ascii="Times New Roman" w:hAnsi="Times New Roman" w:cs="Times New Roman"/>
        </w:rPr>
        <w:t xml:space="preserve"> </w:t>
      </w:r>
      <w:r w:rsidR="00DB23F8">
        <w:rPr>
          <w:rFonts w:ascii="Times New Roman" w:hAnsi="Times New Roman" w:cs="Times New Roman"/>
        </w:rPr>
        <w:t>Undoubtedly, §</w:t>
      </w:r>
      <w:r w:rsidR="00DB23F8" w:rsidRPr="003211AA">
        <w:rPr>
          <w:rFonts w:ascii="Times New Roman" w:hAnsi="Times New Roman" w:cs="Times New Roman"/>
        </w:rPr>
        <w:t>2422(b)</w:t>
      </w:r>
      <w:r w:rsidR="00DB23F8">
        <w:rPr>
          <w:rFonts w:ascii="Times New Roman" w:hAnsi="Times New Roman" w:cs="Times New Roman"/>
        </w:rPr>
        <w:t xml:space="preserve"> </w:t>
      </w:r>
      <w:r w:rsidR="00DB23F8" w:rsidRPr="003211AA">
        <w:rPr>
          <w:rFonts w:ascii="Times New Roman" w:hAnsi="Times New Roman" w:cs="Times New Roman"/>
        </w:rPr>
        <w:t>represents a significant redrawing of the preparation</w:t>
      </w:r>
      <w:r>
        <w:rPr>
          <w:rFonts w:ascii="Times New Roman" w:hAnsi="Times New Roman" w:cs="Times New Roman"/>
        </w:rPr>
        <w:t>–</w:t>
      </w:r>
      <w:r w:rsidR="00DB23F8" w:rsidRPr="003211AA">
        <w:rPr>
          <w:rFonts w:ascii="Times New Roman" w:hAnsi="Times New Roman" w:cs="Times New Roman"/>
        </w:rPr>
        <w:t xml:space="preserve">attempt </w:t>
      </w:r>
      <w:r w:rsidR="00DB23F8" w:rsidRPr="003211AA">
        <w:rPr>
          <w:rFonts w:ascii="Times New Roman" w:hAnsi="Times New Roman" w:cs="Times New Roman"/>
        </w:rPr>
        <w:lastRenderedPageBreak/>
        <w:t>borderline that enlarges the scope of criminal liability</w:t>
      </w:r>
      <w:r w:rsidR="00DB23F8">
        <w:rPr>
          <w:rFonts w:ascii="Times New Roman" w:hAnsi="Times New Roman" w:cs="Times New Roman"/>
        </w:rPr>
        <w:t>.</w:t>
      </w:r>
      <w:r w:rsidR="00DB23F8">
        <w:rPr>
          <w:rStyle w:val="FootnoteReference"/>
          <w:rFonts w:ascii="Times New Roman" w:hAnsi="Times New Roman"/>
        </w:rPr>
        <w:footnoteReference w:id="274"/>
      </w:r>
      <w:r w:rsidR="00DB23F8">
        <w:rPr>
          <w:rFonts w:ascii="Times New Roman" w:hAnsi="Times New Roman" w:cs="Times New Roman"/>
        </w:rPr>
        <w:t xml:space="preserve"> One commentator has recently noted that the section “</w:t>
      </w:r>
      <w:r w:rsidR="00DB23F8" w:rsidRPr="003211AA">
        <w:rPr>
          <w:rFonts w:ascii="Times New Roman" w:hAnsi="Times New Roman" w:cs="Times New Roman"/>
        </w:rPr>
        <w:t>obliterates attempt doctrine’s substantial step requirement.</w:t>
      </w:r>
      <w:r w:rsidR="00DB23F8">
        <w:rPr>
          <w:rFonts w:ascii="Times New Roman" w:hAnsi="Times New Roman" w:cs="Times New Roman"/>
        </w:rPr>
        <w:t>”</w:t>
      </w:r>
      <w:r w:rsidR="00DB23F8">
        <w:rPr>
          <w:rStyle w:val="FootnoteReference"/>
          <w:rFonts w:ascii="Times New Roman" w:hAnsi="Times New Roman"/>
        </w:rPr>
        <w:footnoteReference w:id="275"/>
      </w:r>
      <w:r w:rsidR="00DB23F8" w:rsidRPr="003211AA">
        <w:rPr>
          <w:rFonts w:ascii="Times New Roman" w:hAnsi="Times New Roman" w:cs="Times New Roman"/>
        </w:rPr>
        <w:t xml:space="preserve"> </w:t>
      </w:r>
    </w:p>
    <w:p w14:paraId="162B466B" w14:textId="1BF4ABF0" w:rsidR="00DB23F8" w:rsidRDefault="00DB23F8" w:rsidP="008D6C57">
      <w:pPr>
        <w:bidi w:val="0"/>
        <w:ind w:firstLine="720"/>
        <w:jc w:val="both"/>
        <w:rPr>
          <w:rFonts w:ascii="Times New Roman" w:hAnsi="Times New Roman" w:cs="Times New Roman"/>
        </w:rPr>
      </w:pPr>
      <w:r>
        <w:rPr>
          <w:rFonts w:ascii="Times New Roman" w:hAnsi="Times New Roman" w:cs="Times New Roman"/>
        </w:rPr>
        <w:t xml:space="preserve">Viewed from an evidentiary </w:t>
      </w:r>
      <w:r w:rsidR="00DE2CFB">
        <w:rPr>
          <w:rFonts w:ascii="Times New Roman" w:hAnsi="Times New Roman" w:cs="Times New Roman"/>
        </w:rPr>
        <w:t xml:space="preserve">viewpoint, </w:t>
      </w:r>
      <w:r>
        <w:rPr>
          <w:rFonts w:ascii="Times New Roman" w:hAnsi="Times New Roman" w:cs="Times New Roman"/>
        </w:rPr>
        <w:t>§</w:t>
      </w:r>
      <w:r w:rsidRPr="003211AA">
        <w:rPr>
          <w:rFonts w:ascii="Times New Roman" w:hAnsi="Times New Roman" w:cs="Times New Roman"/>
        </w:rPr>
        <w:t xml:space="preserve">2422(b) </w:t>
      </w:r>
      <w:r>
        <w:rPr>
          <w:rFonts w:ascii="Times New Roman" w:hAnsi="Times New Roman" w:cs="Times New Roman"/>
        </w:rPr>
        <w:t xml:space="preserve">reflects a decision made by the legislature to recalibrate the burden of proof in the context of sexual </w:t>
      </w:r>
      <w:r w:rsidR="00296EC3">
        <w:rPr>
          <w:rFonts w:ascii="Times New Roman" w:hAnsi="Times New Roman" w:cs="Times New Roman"/>
        </w:rPr>
        <w:t>offenses</w:t>
      </w:r>
      <w:r>
        <w:rPr>
          <w:rFonts w:ascii="Times New Roman" w:hAnsi="Times New Roman" w:cs="Times New Roman"/>
        </w:rPr>
        <w:t xml:space="preserve"> committed against children in favor of more false positives. In all likelihood, the adoption of §</w:t>
      </w:r>
      <w:r w:rsidRPr="003211AA">
        <w:rPr>
          <w:rFonts w:ascii="Times New Roman" w:hAnsi="Times New Roman" w:cs="Times New Roman"/>
        </w:rPr>
        <w:t>2422(b)</w:t>
      </w:r>
      <w:r>
        <w:rPr>
          <w:rFonts w:ascii="Times New Roman" w:hAnsi="Times New Roman" w:cs="Times New Roman"/>
        </w:rPr>
        <w:t xml:space="preserve"> brought about the conviction of innocent defendants—innocent in the sense that despite taking preparatory steps towards having sex with a minor, the</w:t>
      </w:r>
      <w:r w:rsidR="00DE2CFB">
        <w:rPr>
          <w:rFonts w:ascii="Times New Roman" w:hAnsi="Times New Roman" w:cs="Times New Roman"/>
        </w:rPr>
        <w:t xml:space="preserve"> defendants </w:t>
      </w:r>
      <w:r>
        <w:rPr>
          <w:rFonts w:ascii="Times New Roman" w:hAnsi="Times New Roman" w:cs="Times New Roman"/>
        </w:rPr>
        <w:t xml:space="preserve">did not have the resolve to go through with </w:t>
      </w:r>
      <w:r w:rsidR="00DE2CFB">
        <w:rPr>
          <w:rFonts w:ascii="Times New Roman" w:hAnsi="Times New Roman" w:cs="Times New Roman"/>
        </w:rPr>
        <w:t xml:space="preserve">the </w:t>
      </w:r>
      <w:r>
        <w:rPr>
          <w:rFonts w:ascii="Times New Roman" w:hAnsi="Times New Roman" w:cs="Times New Roman"/>
        </w:rPr>
        <w:t>plan. Nonetheless, §</w:t>
      </w:r>
      <w:r w:rsidRPr="003211AA">
        <w:rPr>
          <w:rFonts w:ascii="Times New Roman" w:hAnsi="Times New Roman" w:cs="Times New Roman"/>
        </w:rPr>
        <w:t xml:space="preserve">2422(b) </w:t>
      </w:r>
      <w:r>
        <w:rPr>
          <w:rFonts w:ascii="Times New Roman" w:hAnsi="Times New Roman" w:cs="Times New Roman"/>
        </w:rPr>
        <w:t>reduces the amount of false acquittals and enables the state to punish more people who intend to have sex with children. Thus, the section reflects a specific balance between the costs of chilling communications of a sexual nature between adults and children (and other speech that lies in the penumbra of this behavior) and deterring and incapacitating pedophiles.</w:t>
      </w:r>
      <w:r>
        <w:rPr>
          <w:rStyle w:val="FootnoteReference"/>
          <w:rFonts w:ascii="Times New Roman" w:hAnsi="Times New Roman"/>
        </w:rPr>
        <w:footnoteReference w:id="276"/>
      </w:r>
      <w:r>
        <w:rPr>
          <w:rFonts w:ascii="Times New Roman" w:hAnsi="Times New Roman" w:cs="Times New Roman"/>
        </w:rPr>
        <w:t xml:space="preserve"> </w:t>
      </w:r>
    </w:p>
    <w:p w14:paraId="15394181" w14:textId="77777777" w:rsidR="00DB23F8" w:rsidRPr="004E716C" w:rsidRDefault="00DB23F8" w:rsidP="001515C3">
      <w:pPr>
        <w:bidi w:val="0"/>
        <w:ind w:firstLine="720"/>
        <w:jc w:val="both"/>
        <w:rPr>
          <w:rFonts w:ascii="Times New Roman" w:hAnsi="Times New Roman" w:cs="Times New Roman"/>
        </w:rPr>
      </w:pPr>
      <w:r>
        <w:rPr>
          <w:rFonts w:ascii="Times New Roman" w:hAnsi="Times New Roman" w:cs="Times New Roman"/>
        </w:rPr>
        <w:t>To be sure, the evidentiary theory of punishment does not offer an automatic justification for all broadening of criminal liability that rests on an alleged need to adjust the burden of proof in a concrete context. It is quite possible that upon closer examination (which is beyond the scope of this Article), one would discover that the balance struck in §</w:t>
      </w:r>
      <w:r w:rsidRPr="003211AA">
        <w:rPr>
          <w:rFonts w:ascii="Times New Roman" w:hAnsi="Times New Roman" w:cs="Times New Roman"/>
        </w:rPr>
        <w:t>2422(b)</w:t>
      </w:r>
      <w:r>
        <w:rPr>
          <w:rFonts w:ascii="Times New Roman" w:hAnsi="Times New Roman" w:cs="Times New Roman"/>
        </w:rPr>
        <w:t xml:space="preserve"> can only be explained by the political economy of criminal legislation, which tends to systematically broaden the scope of prohibitions and ratchet up sanctions.</w:t>
      </w:r>
      <w:r>
        <w:rPr>
          <w:rStyle w:val="FootnoteReference"/>
          <w:rFonts w:ascii="Times New Roman" w:hAnsi="Times New Roman"/>
        </w:rPr>
        <w:footnoteReference w:id="277"/>
      </w:r>
      <w:r>
        <w:rPr>
          <w:rFonts w:ascii="Times New Roman" w:hAnsi="Times New Roman" w:cs="Times New Roman"/>
        </w:rPr>
        <w:t xml:space="preserve"> Any evidentiary balance struck in a concrete criminal context should rest on sound empirical and normative grounds.</w:t>
      </w:r>
    </w:p>
    <w:p w14:paraId="5092A20B" w14:textId="77777777" w:rsidR="00DB23F8" w:rsidRPr="004E58F5" w:rsidRDefault="00DB23F8" w:rsidP="008263C7">
      <w:pPr>
        <w:pStyle w:val="ListParagraph"/>
        <w:keepNext/>
        <w:numPr>
          <w:ilvl w:val="0"/>
          <w:numId w:val="9"/>
        </w:numPr>
        <w:bidi w:val="0"/>
        <w:jc w:val="both"/>
        <w:rPr>
          <w:rFonts w:ascii="Times New Roman" w:hAnsi="Times New Roman" w:cs="Times New Roman"/>
          <w:i/>
          <w:iCs/>
        </w:rPr>
      </w:pPr>
      <w:r w:rsidRPr="004E58F5">
        <w:rPr>
          <w:rFonts w:ascii="Times New Roman" w:hAnsi="Times New Roman" w:cs="Times New Roman"/>
          <w:i/>
          <w:iCs/>
        </w:rPr>
        <w:t>The Expressive Perspective: Sustaining the Social Meaning of a Conviction</w:t>
      </w:r>
    </w:p>
    <w:p w14:paraId="245F51F8" w14:textId="77777777" w:rsidR="00DB23F8" w:rsidRDefault="00DB23F8" w:rsidP="008263C7">
      <w:pPr>
        <w:keepNext/>
        <w:bidi w:val="0"/>
        <w:ind w:firstLine="720"/>
        <w:jc w:val="both"/>
        <w:rPr>
          <w:rFonts w:ascii="Times New Roman" w:hAnsi="Times New Roman" w:cs="Times New Roman"/>
        </w:rPr>
      </w:pPr>
      <w:r>
        <w:rPr>
          <w:rFonts w:ascii="Times New Roman" w:hAnsi="Times New Roman" w:cs="Times New Roman"/>
        </w:rPr>
        <w:t>Expressive theories of criminal law focus on the communicative function of punishment.</w:t>
      </w:r>
      <w:bookmarkStart w:id="69" w:name="_Ref429602975"/>
      <w:r>
        <w:rPr>
          <w:rStyle w:val="FootnoteReference"/>
          <w:rFonts w:ascii="Times New Roman" w:hAnsi="Times New Roman"/>
        </w:rPr>
        <w:footnoteReference w:id="278"/>
      </w:r>
      <w:bookmarkEnd w:id="69"/>
      <w:r>
        <w:rPr>
          <w:rFonts w:ascii="Times New Roman" w:hAnsi="Times New Roman" w:cs="Times New Roman"/>
        </w:rPr>
        <w:t xml:space="preserve"> Within an expressive framework, punishment is not only about inflicting suffering </w:t>
      </w:r>
      <w:r w:rsidR="00091A89">
        <w:rPr>
          <w:rFonts w:ascii="Times New Roman" w:hAnsi="Times New Roman" w:cs="Times New Roman"/>
        </w:rPr>
        <w:t xml:space="preserve">on </w:t>
      </w:r>
      <w:r>
        <w:rPr>
          <w:rFonts w:ascii="Times New Roman" w:hAnsi="Times New Roman" w:cs="Times New Roman"/>
        </w:rPr>
        <w:t>wrongdoers.</w:t>
      </w:r>
      <w:bookmarkStart w:id="70" w:name="_Ref430171659"/>
      <w:r>
        <w:rPr>
          <w:rStyle w:val="FootnoteReference"/>
          <w:rFonts w:ascii="Times New Roman" w:hAnsi="Times New Roman"/>
        </w:rPr>
        <w:footnoteReference w:id="279"/>
      </w:r>
      <w:bookmarkEnd w:id="70"/>
      <w:r>
        <w:rPr>
          <w:rFonts w:ascii="Times New Roman" w:hAnsi="Times New Roman" w:cs="Times New Roman"/>
        </w:rPr>
        <w:t xml:space="preserve"> Rather, punishment is the way in which society enunciates its condemnation of an offensive act.</w:t>
      </w:r>
      <w:r>
        <w:rPr>
          <w:rStyle w:val="FootnoteReference"/>
          <w:rFonts w:ascii="Times New Roman" w:hAnsi="Times New Roman"/>
        </w:rPr>
        <w:footnoteReference w:id="280"/>
      </w:r>
      <w:r>
        <w:rPr>
          <w:rFonts w:ascii="Times New Roman" w:hAnsi="Times New Roman" w:cs="Times New Roman"/>
        </w:rPr>
        <w:t xml:space="preserve"> By criminalizing certain acts and determining the </w:t>
      </w:r>
      <w:r>
        <w:rPr>
          <w:rFonts w:ascii="Times New Roman" w:hAnsi="Times New Roman" w:cs="Times New Roman"/>
        </w:rPr>
        <w:lastRenderedPageBreak/>
        <w:t>appropriate sanction for violating those acts, criminal law can echo the values of the community.</w:t>
      </w:r>
      <w:r>
        <w:rPr>
          <w:rStyle w:val="FootnoteReference"/>
          <w:rFonts w:ascii="Times New Roman" w:hAnsi="Times New Roman"/>
        </w:rPr>
        <w:footnoteReference w:id="281"/>
      </w:r>
      <w:r>
        <w:rPr>
          <w:rFonts w:ascii="Times New Roman" w:hAnsi="Times New Roman" w:cs="Times New Roman"/>
        </w:rPr>
        <w:t xml:space="preserve"> For example, the creation of hate crimes or the use of specific types of sanctions (e.g., death, shaming) </w:t>
      </w:r>
      <w:proofErr w:type="gramStart"/>
      <w:r>
        <w:rPr>
          <w:rFonts w:ascii="Times New Roman" w:hAnsi="Times New Roman" w:cs="Times New Roman"/>
        </w:rPr>
        <w:t>can be explained</w:t>
      </w:r>
      <w:proofErr w:type="gramEnd"/>
      <w:r>
        <w:rPr>
          <w:rFonts w:ascii="Times New Roman" w:hAnsi="Times New Roman" w:cs="Times New Roman"/>
        </w:rPr>
        <w:t xml:space="preserve"> by the symbolic nature of these legal vessels.</w:t>
      </w:r>
      <w:r>
        <w:rPr>
          <w:rStyle w:val="FootnoteReference"/>
          <w:rFonts w:ascii="Times New Roman" w:hAnsi="Times New Roman"/>
        </w:rPr>
        <w:footnoteReference w:id="282"/>
      </w:r>
      <w:r>
        <w:rPr>
          <w:rFonts w:ascii="Times New Roman" w:hAnsi="Times New Roman" w:cs="Times New Roman"/>
        </w:rPr>
        <w:t xml:space="preserve"> In addition, the social meaning of criminal prohibitions can bolster the power of social norms and thus help promote the goals of a community enacting them.</w:t>
      </w:r>
      <w:r>
        <w:rPr>
          <w:rStyle w:val="FootnoteReference"/>
          <w:rFonts w:ascii="Times New Roman" w:hAnsi="Times New Roman"/>
        </w:rPr>
        <w:footnoteReference w:id="283"/>
      </w:r>
      <w:r>
        <w:rPr>
          <w:rFonts w:ascii="Times New Roman" w:hAnsi="Times New Roman" w:cs="Times New Roman"/>
        </w:rPr>
        <w:t xml:space="preserve"> For instance, </w:t>
      </w:r>
      <w:r w:rsidR="00091A89">
        <w:rPr>
          <w:rFonts w:ascii="Times New Roman" w:hAnsi="Times New Roman" w:cs="Times New Roman"/>
        </w:rPr>
        <w:t xml:space="preserve">sodomy </w:t>
      </w:r>
      <w:r>
        <w:rPr>
          <w:rFonts w:ascii="Times New Roman" w:hAnsi="Times New Roman" w:cs="Times New Roman"/>
        </w:rPr>
        <w:t>laws can serve to convey a message of contempt to the gay community and perpetuate homophobic norms, even when they are unenforced.</w:t>
      </w:r>
      <w:r>
        <w:rPr>
          <w:rStyle w:val="FootnoteReference"/>
          <w:rFonts w:ascii="Times New Roman" w:hAnsi="Times New Roman"/>
        </w:rPr>
        <w:footnoteReference w:id="284"/>
      </w:r>
      <w:r>
        <w:rPr>
          <w:rFonts w:ascii="Times New Roman" w:hAnsi="Times New Roman" w:cs="Times New Roman"/>
        </w:rPr>
        <w:t xml:space="preserve"> </w:t>
      </w:r>
    </w:p>
    <w:p w14:paraId="77D865FD" w14:textId="77777777" w:rsidR="00DB23F8" w:rsidRDefault="00DB23F8" w:rsidP="008263C7">
      <w:pPr>
        <w:bidi w:val="0"/>
        <w:ind w:firstLine="720"/>
        <w:jc w:val="both"/>
        <w:rPr>
          <w:rFonts w:ascii="Times New Roman" w:hAnsi="Times New Roman" w:cs="Times New Roman"/>
          <w:rtl/>
        </w:rPr>
      </w:pPr>
      <w:r>
        <w:rPr>
          <w:rFonts w:ascii="Times New Roman" w:hAnsi="Times New Roman" w:cs="Times New Roman"/>
        </w:rPr>
        <w:t xml:space="preserve">Legal scholars have stressed the importance of the beyond reasonable doubt standard </w:t>
      </w:r>
      <w:r w:rsidR="00091A89">
        <w:rPr>
          <w:rFonts w:ascii="Times New Roman" w:hAnsi="Times New Roman" w:cs="Times New Roman"/>
        </w:rPr>
        <w:t xml:space="preserve">in </w:t>
      </w:r>
      <w:r>
        <w:rPr>
          <w:rFonts w:ascii="Times New Roman" w:hAnsi="Times New Roman" w:cs="Times New Roman"/>
        </w:rPr>
        <w:t xml:space="preserve">sustaining the expressive function of criminal law. Professor Laurence Tribe has long argued that the standard </w:t>
      </w:r>
      <w:proofErr w:type="gramStart"/>
      <w:r>
        <w:rPr>
          <w:rFonts w:ascii="Times New Roman" w:hAnsi="Times New Roman" w:cs="Times New Roman"/>
        </w:rPr>
        <w:t>is tied</w:t>
      </w:r>
      <w:proofErr w:type="gramEnd"/>
      <w:r>
        <w:rPr>
          <w:rFonts w:ascii="Times New Roman" w:hAnsi="Times New Roman" w:cs="Times New Roman"/>
        </w:rPr>
        <w:t xml:space="preserve"> to the condemning function of criminal law.</w:t>
      </w:r>
      <w:r>
        <w:rPr>
          <w:rStyle w:val="FootnoteReference"/>
          <w:rFonts w:ascii="Times New Roman" w:hAnsi="Times New Roman"/>
        </w:rPr>
        <w:footnoteReference w:id="285"/>
      </w:r>
      <w:r>
        <w:rPr>
          <w:rFonts w:ascii="Times New Roman" w:hAnsi="Times New Roman" w:cs="Times New Roman"/>
        </w:rPr>
        <w:t xml:space="preserve"> According to this line of thought, acknowledging the existence</w:t>
      </w:r>
      <w:r w:rsidR="00091A89">
        <w:rPr>
          <w:rFonts w:ascii="Times New Roman" w:hAnsi="Times New Roman" w:cs="Times New Roman"/>
        </w:rPr>
        <w:t xml:space="preserve"> of</w:t>
      </w:r>
      <w:r>
        <w:rPr>
          <w:rFonts w:ascii="Times New Roman" w:hAnsi="Times New Roman" w:cs="Times New Roman"/>
        </w:rPr>
        <w:t xml:space="preserve"> quantifiable doubt while simultaneously blaming the defendant undermines the communi</w:t>
      </w:r>
      <w:r w:rsidR="00091A89">
        <w:rPr>
          <w:rFonts w:ascii="Times New Roman" w:hAnsi="Times New Roman" w:cs="Times New Roman"/>
        </w:rPr>
        <w:t>ca</w:t>
      </w:r>
      <w:r>
        <w:rPr>
          <w:rFonts w:ascii="Times New Roman" w:hAnsi="Times New Roman" w:cs="Times New Roman"/>
        </w:rPr>
        <w:t>tive power of a conviction. A conviction needs to convey information that the defendant did something</w:t>
      </w:r>
      <w:r w:rsidR="00091A89">
        <w:rPr>
          <w:rFonts w:ascii="Times New Roman" w:hAnsi="Times New Roman" w:cs="Times New Roman"/>
        </w:rPr>
        <w:t xml:space="preserve">, for example </w:t>
      </w:r>
      <w:r>
        <w:rPr>
          <w:rFonts w:ascii="Times New Roman" w:hAnsi="Times New Roman" w:cs="Times New Roman"/>
        </w:rPr>
        <w:t>murder</w:t>
      </w:r>
      <w:r w:rsidR="00091A89">
        <w:rPr>
          <w:rFonts w:ascii="Times New Roman" w:hAnsi="Times New Roman" w:cs="Times New Roman"/>
        </w:rPr>
        <w:t xml:space="preserve"> or </w:t>
      </w:r>
      <w:r>
        <w:rPr>
          <w:rFonts w:ascii="Times New Roman" w:hAnsi="Times New Roman" w:cs="Times New Roman"/>
        </w:rPr>
        <w:t>rape</w:t>
      </w:r>
      <w:r w:rsidR="00091A89">
        <w:rPr>
          <w:rFonts w:ascii="Times New Roman" w:hAnsi="Times New Roman" w:cs="Times New Roman"/>
        </w:rPr>
        <w:t xml:space="preserve">; </w:t>
      </w:r>
      <w:r>
        <w:rPr>
          <w:rFonts w:ascii="Times New Roman" w:hAnsi="Times New Roman" w:cs="Times New Roman"/>
        </w:rPr>
        <w:t xml:space="preserve">a complex message according to which the defendant with some probability killed or raped is one </w:t>
      </w:r>
      <w:r w:rsidR="00091A89">
        <w:rPr>
          <w:rFonts w:ascii="Times New Roman" w:hAnsi="Times New Roman" w:cs="Times New Roman"/>
        </w:rPr>
        <w:t xml:space="preserve">that </w:t>
      </w:r>
      <w:r>
        <w:rPr>
          <w:rFonts w:ascii="Times New Roman" w:hAnsi="Times New Roman" w:cs="Times New Roman"/>
        </w:rPr>
        <w:t xml:space="preserve">cannot form the basis </w:t>
      </w:r>
      <w:r w:rsidR="00091A89">
        <w:rPr>
          <w:rFonts w:ascii="Times New Roman" w:hAnsi="Times New Roman" w:cs="Times New Roman"/>
        </w:rPr>
        <w:t xml:space="preserve">of </w:t>
      </w:r>
      <w:r>
        <w:rPr>
          <w:rFonts w:ascii="Times New Roman" w:hAnsi="Times New Roman" w:cs="Times New Roman"/>
        </w:rPr>
        <w:t xml:space="preserve">the condemnation of the defendant. </w:t>
      </w:r>
    </w:p>
    <w:p w14:paraId="43CDA561" w14:textId="77777777" w:rsidR="00DB23F8" w:rsidRPr="0001485E" w:rsidRDefault="00DB23F8" w:rsidP="00652B55">
      <w:pPr>
        <w:bidi w:val="0"/>
        <w:ind w:firstLine="720"/>
        <w:jc w:val="both"/>
        <w:rPr>
          <w:rFonts w:ascii="Times New Roman" w:hAnsi="Times New Roman" w:cs="Times New Roman"/>
        </w:rPr>
      </w:pPr>
      <w:r>
        <w:rPr>
          <w:rFonts w:ascii="Times New Roman" w:hAnsi="Times New Roman" w:cs="Times New Roman"/>
        </w:rPr>
        <w:t>When presenting the case for a penal regime that incorporates evidentiary uncertainty into sentencing,</w:t>
      </w:r>
      <w:r w:rsidRPr="0001485E">
        <w:rPr>
          <w:rFonts w:ascii="Times New Roman" w:hAnsi="Times New Roman" w:cs="Times New Roman"/>
        </w:rPr>
        <w:t xml:space="preserve"> Fisher attempts to rebut </w:t>
      </w:r>
      <w:r>
        <w:rPr>
          <w:rFonts w:ascii="Times New Roman" w:hAnsi="Times New Roman" w:cs="Times New Roman"/>
        </w:rPr>
        <w:t>this expressive concern.</w:t>
      </w:r>
      <w:r>
        <w:rPr>
          <w:rStyle w:val="FootnoteReference"/>
          <w:rFonts w:ascii="Times New Roman" w:hAnsi="Times New Roman"/>
        </w:rPr>
        <w:footnoteReference w:id="286"/>
      </w:r>
      <w:r>
        <w:rPr>
          <w:rFonts w:ascii="Times New Roman" w:hAnsi="Times New Roman" w:cs="Times New Roman"/>
        </w:rPr>
        <w:t xml:space="preserve"> According to Fisher, </w:t>
      </w:r>
      <w:r w:rsidRPr="0001485E">
        <w:rPr>
          <w:rFonts w:ascii="Times New Roman" w:hAnsi="Times New Roman" w:cs="Times New Roman"/>
        </w:rPr>
        <w:t>a probabilistic penal regime</w:t>
      </w:r>
      <w:r>
        <w:rPr>
          <w:rFonts w:ascii="Times New Roman" w:hAnsi="Times New Roman" w:cs="Times New Roman"/>
        </w:rPr>
        <w:t xml:space="preserve"> is actually desirable from an expressive perspective</w:t>
      </w:r>
      <w:r w:rsidR="009D0C25">
        <w:rPr>
          <w:rFonts w:ascii="Times New Roman" w:hAnsi="Times New Roman" w:cs="Times New Roman"/>
        </w:rPr>
        <w:t xml:space="preserve"> because</w:t>
      </w:r>
      <w:r>
        <w:rPr>
          <w:rFonts w:ascii="Times New Roman" w:hAnsi="Times New Roman" w:cs="Times New Roman"/>
        </w:rPr>
        <w:t xml:space="preserve"> it allows the legal system to convey precise signals regarding culpability</w:t>
      </w:r>
      <w:r w:rsidRPr="0001485E">
        <w:rPr>
          <w:rFonts w:ascii="Times New Roman" w:hAnsi="Times New Roman" w:cs="Times New Roman"/>
        </w:rPr>
        <w:t xml:space="preserve">. </w:t>
      </w:r>
      <w:r>
        <w:rPr>
          <w:rFonts w:ascii="Times New Roman" w:hAnsi="Times New Roman" w:cs="Times New Roman"/>
        </w:rPr>
        <w:t>As she notes, such a</w:t>
      </w:r>
      <w:r w:rsidRPr="0001485E">
        <w:rPr>
          <w:rFonts w:ascii="Times New Roman" w:hAnsi="Times New Roman" w:cs="Times New Roman"/>
        </w:rPr>
        <w:t xml:space="preserve"> regime “would allow for a more nuanced and sophisticated answer to the question of criminal responsibility. By creating multiple standards of criminal conviction, the probabilistic model would facilitate a more accurate reflection of the evidentiary gray areas that permeate criminal decision making and would enable finer regulation of the accompanying social sanctions.”</w:t>
      </w:r>
      <w:r>
        <w:rPr>
          <w:rStyle w:val="FootnoteReference"/>
          <w:rFonts w:ascii="Times New Roman" w:hAnsi="Times New Roman"/>
        </w:rPr>
        <w:footnoteReference w:id="287"/>
      </w:r>
      <w:r w:rsidRPr="0001485E">
        <w:rPr>
          <w:rFonts w:ascii="Times New Roman" w:hAnsi="Times New Roman" w:cs="Times New Roman"/>
        </w:rPr>
        <w:t xml:space="preserve"> </w:t>
      </w:r>
    </w:p>
    <w:p w14:paraId="434E477D" w14:textId="77777777" w:rsidR="00DB23F8" w:rsidRDefault="00DB23F8" w:rsidP="00652B55">
      <w:pPr>
        <w:bidi w:val="0"/>
        <w:ind w:firstLine="720"/>
        <w:jc w:val="both"/>
        <w:rPr>
          <w:rFonts w:ascii="Times New Roman" w:hAnsi="Times New Roman" w:cs="Times New Roman"/>
        </w:rPr>
      </w:pPr>
      <w:r w:rsidRPr="004E716C">
        <w:rPr>
          <w:rFonts w:ascii="Times New Roman" w:hAnsi="Times New Roman" w:cs="Times New Roman"/>
        </w:rPr>
        <w:t xml:space="preserve">While this argument </w:t>
      </w:r>
      <w:r w:rsidR="009D0C25" w:rsidRPr="009D0C25">
        <w:rPr>
          <w:rFonts w:ascii="Times New Roman" w:hAnsi="Times New Roman" w:cs="Times New Roman"/>
        </w:rPr>
        <w:t xml:space="preserve">nicely </w:t>
      </w:r>
      <w:r w:rsidRPr="004E716C">
        <w:rPr>
          <w:rFonts w:ascii="Times New Roman" w:hAnsi="Times New Roman" w:cs="Times New Roman"/>
        </w:rPr>
        <w:t xml:space="preserve">explains why graduated sanctions based </w:t>
      </w:r>
      <w:r>
        <w:rPr>
          <w:rFonts w:ascii="Times New Roman" w:hAnsi="Times New Roman" w:cs="Times New Roman"/>
        </w:rPr>
        <w:t xml:space="preserve">on a probabilistic assessment of the evidence </w:t>
      </w:r>
      <w:proofErr w:type="gramStart"/>
      <w:r>
        <w:rPr>
          <w:rFonts w:ascii="Times New Roman" w:hAnsi="Times New Roman" w:cs="Times New Roman"/>
        </w:rPr>
        <w:t>is warranted</w:t>
      </w:r>
      <w:proofErr w:type="gramEnd"/>
      <w:r>
        <w:rPr>
          <w:rFonts w:ascii="Times New Roman" w:hAnsi="Times New Roman" w:cs="Times New Roman"/>
        </w:rPr>
        <w:t>, it fails to deal with the expressive argument as such.</w:t>
      </w:r>
      <w:r w:rsidRPr="004E716C">
        <w:rPr>
          <w:rFonts w:ascii="Times New Roman" w:hAnsi="Times New Roman" w:cs="Times New Roman"/>
        </w:rPr>
        <w:t xml:space="preserve"> For the expressive function of the law </w:t>
      </w:r>
      <w:r>
        <w:rPr>
          <w:rFonts w:ascii="Times New Roman" w:hAnsi="Times New Roman" w:cs="Times New Roman"/>
        </w:rPr>
        <w:t xml:space="preserve">to </w:t>
      </w:r>
      <w:r w:rsidRPr="004E716C">
        <w:rPr>
          <w:rFonts w:ascii="Times New Roman" w:hAnsi="Times New Roman" w:cs="Times New Roman"/>
        </w:rPr>
        <w:t xml:space="preserve">operate with a probabilistic </w:t>
      </w:r>
      <w:r>
        <w:rPr>
          <w:rFonts w:ascii="Times New Roman" w:hAnsi="Times New Roman" w:cs="Times New Roman"/>
        </w:rPr>
        <w:t>sentencing regime,</w:t>
      </w:r>
      <w:r w:rsidRPr="004E716C">
        <w:rPr>
          <w:rFonts w:ascii="Times New Roman" w:hAnsi="Times New Roman" w:cs="Times New Roman"/>
        </w:rPr>
        <w:t xml:space="preserve"> the populous would have to </w:t>
      </w:r>
      <w:proofErr w:type="gramStart"/>
      <w:r w:rsidRPr="004E716C">
        <w:rPr>
          <w:rFonts w:ascii="Times New Roman" w:hAnsi="Times New Roman" w:cs="Times New Roman"/>
        </w:rPr>
        <w:t>be acutely attuned</w:t>
      </w:r>
      <w:proofErr w:type="gramEnd"/>
      <w:r w:rsidRPr="004E716C">
        <w:rPr>
          <w:rFonts w:ascii="Times New Roman" w:hAnsi="Times New Roman" w:cs="Times New Roman"/>
        </w:rPr>
        <w:t xml:space="preserve"> to the intricate details of legal decisions. The specifics of the factual reasoning </w:t>
      </w:r>
      <w:r w:rsidR="009D0C25">
        <w:rPr>
          <w:rFonts w:ascii="Times New Roman" w:hAnsi="Times New Roman" w:cs="Times New Roman"/>
        </w:rPr>
        <w:t>and</w:t>
      </w:r>
      <w:r w:rsidRPr="004E716C">
        <w:rPr>
          <w:rFonts w:ascii="Times New Roman" w:hAnsi="Times New Roman" w:cs="Times New Roman"/>
        </w:rPr>
        <w:t xml:space="preserve"> the estimated probability of guilt would have to </w:t>
      </w:r>
      <w:proofErr w:type="gramStart"/>
      <w:r w:rsidRPr="004E716C">
        <w:rPr>
          <w:rFonts w:ascii="Times New Roman" w:hAnsi="Times New Roman" w:cs="Times New Roman"/>
        </w:rPr>
        <w:t>be conveyed</w:t>
      </w:r>
      <w:proofErr w:type="gramEnd"/>
      <w:r w:rsidRPr="004E716C">
        <w:rPr>
          <w:rFonts w:ascii="Times New Roman" w:hAnsi="Times New Roman" w:cs="Times New Roman"/>
        </w:rPr>
        <w:t xml:space="preserve"> to the public, w</w:t>
      </w:r>
      <w:r w:rsidR="009D0C25">
        <w:rPr>
          <w:rFonts w:ascii="Times New Roman" w:hAnsi="Times New Roman" w:cs="Times New Roman"/>
        </w:rPr>
        <w:t>ho</w:t>
      </w:r>
      <w:r w:rsidRPr="004E716C">
        <w:rPr>
          <w:rFonts w:ascii="Times New Roman" w:hAnsi="Times New Roman" w:cs="Times New Roman"/>
        </w:rPr>
        <w:t xml:space="preserve"> will then have to comprehend this complex message.</w:t>
      </w:r>
      <w:r>
        <w:rPr>
          <w:rFonts w:ascii="Times New Roman" w:hAnsi="Times New Roman" w:cs="Times New Roman"/>
        </w:rPr>
        <w:t xml:space="preserve"> Fisher envisions a world in which “</w:t>
      </w:r>
      <w:r w:rsidRPr="00652B55">
        <w:rPr>
          <w:rFonts w:ascii="Times New Roman" w:hAnsi="Times New Roman" w:cs="Times New Roman"/>
        </w:rPr>
        <w:t>[t]he transparency as to the extent of epistemic doubt, incorporated into the verdict, would allow the public to calculate the gravity of condemnation of the given criminal conduct under the assumption of maximal certainty.</w:t>
      </w:r>
      <w:r>
        <w:rPr>
          <w:rFonts w:ascii="Times New Roman" w:hAnsi="Times New Roman" w:cs="Times New Roman"/>
        </w:rPr>
        <w:t>”</w:t>
      </w:r>
      <w:r>
        <w:rPr>
          <w:rStyle w:val="FootnoteReference"/>
          <w:rFonts w:ascii="Times New Roman" w:hAnsi="Times New Roman"/>
        </w:rPr>
        <w:footnoteReference w:id="288"/>
      </w:r>
    </w:p>
    <w:p w14:paraId="2D196AAA" w14:textId="77777777" w:rsidR="00DB23F8" w:rsidRPr="00652B55" w:rsidRDefault="00DB23F8" w:rsidP="00BC5262">
      <w:pPr>
        <w:bidi w:val="0"/>
        <w:ind w:firstLine="720"/>
        <w:jc w:val="both"/>
        <w:rPr>
          <w:rFonts w:ascii="Times New Roman" w:hAnsi="Times New Roman" w:cs="Times New Roman"/>
          <w:sz w:val="27"/>
          <w:szCs w:val="27"/>
        </w:rPr>
      </w:pPr>
      <w:r>
        <w:rPr>
          <w:rFonts w:ascii="Times New Roman" w:hAnsi="Times New Roman" w:cs="Times New Roman"/>
        </w:rPr>
        <w:lastRenderedPageBreak/>
        <w:t>The problem with this vision is that criminal law does not convey information in such a manner</w:t>
      </w:r>
      <w:r w:rsidR="009D0C25">
        <w:rPr>
          <w:rFonts w:ascii="Times New Roman" w:hAnsi="Times New Roman" w:cs="Times New Roman"/>
        </w:rPr>
        <w:t xml:space="preserve">; </w:t>
      </w:r>
      <w:r>
        <w:rPr>
          <w:rFonts w:ascii="Times New Roman" w:hAnsi="Times New Roman" w:cs="Times New Roman"/>
        </w:rPr>
        <w:t>it is not a “nuanced” form of communication. When the criminal law fulfills its expressive function</w:t>
      </w:r>
      <w:r w:rsidR="009D0C25">
        <w:rPr>
          <w:rFonts w:ascii="Times New Roman" w:hAnsi="Times New Roman" w:cs="Times New Roman"/>
        </w:rPr>
        <w:t>,</w:t>
      </w:r>
      <w:r>
        <w:rPr>
          <w:rFonts w:ascii="Times New Roman" w:hAnsi="Times New Roman" w:cs="Times New Roman"/>
        </w:rPr>
        <w:t xml:space="preserve"> it communicates with all members of the community and not with a small subset of people attuned to the details of legal rulings. To this end, its messages need to be simple and clear and cannot incorporate a multitude of dimensions that are beyond the comprehension of many members of its audience. This is why criminal law does not adjust penalties downwards to account for the adverse consequences of a conviction, even if such adjustments are required from a normative perspective.</w:t>
      </w:r>
      <w:r>
        <w:rPr>
          <w:rStyle w:val="FootnoteReference"/>
          <w:rFonts w:ascii="Times New Roman" w:hAnsi="Times New Roman"/>
        </w:rPr>
        <w:footnoteReference w:id="289"/>
      </w:r>
      <w:r>
        <w:rPr>
          <w:rFonts w:ascii="Times New Roman" w:hAnsi="Times New Roman" w:cs="Times New Roman"/>
        </w:rPr>
        <w:t xml:space="preserve"> Decreasing sanctions in such a manner would not only “</w:t>
      </w:r>
      <w:r w:rsidRPr="00652B55">
        <w:rPr>
          <w:rFonts w:ascii="Times New Roman" w:hAnsi="Times New Roman" w:cs="Times New Roman"/>
        </w:rPr>
        <w:t>dilute the expressive force of the criminal sanction in the particular case, but it also would work to undermine the criminal law’s more general moralizing, educative, and norm-building function in the long term.”</w:t>
      </w:r>
      <w:r>
        <w:rPr>
          <w:rStyle w:val="FootnoteReference"/>
          <w:rFonts w:ascii="Times New Roman" w:hAnsi="Times New Roman"/>
        </w:rPr>
        <w:footnoteReference w:id="290"/>
      </w:r>
    </w:p>
    <w:p w14:paraId="431DD6F2" w14:textId="77777777" w:rsidR="00DB23F8" w:rsidRDefault="00DB23F8" w:rsidP="00E9178D">
      <w:pPr>
        <w:bidi w:val="0"/>
        <w:ind w:firstLine="720"/>
        <w:jc w:val="both"/>
        <w:rPr>
          <w:rFonts w:ascii="Times New Roman" w:hAnsi="Times New Roman" w:cs="Times New Roman"/>
        </w:rPr>
      </w:pPr>
      <w:r>
        <w:rPr>
          <w:rFonts w:ascii="Times New Roman" w:hAnsi="Times New Roman" w:cs="Times New Roman"/>
        </w:rPr>
        <w:t>The specific context of probabilistic guilt raises even greater difficulties from an expressive perspective. For one</w:t>
      </w:r>
      <w:r w:rsidR="009D0C25">
        <w:rPr>
          <w:rFonts w:ascii="Times New Roman" w:hAnsi="Times New Roman" w:cs="Times New Roman"/>
        </w:rPr>
        <w:t xml:space="preserve"> thing</w:t>
      </w:r>
      <w:r>
        <w:rPr>
          <w:rFonts w:ascii="Times New Roman" w:hAnsi="Times New Roman" w:cs="Times New Roman"/>
        </w:rPr>
        <w:t xml:space="preserve">, people tend </w:t>
      </w:r>
      <w:proofErr w:type="gramStart"/>
      <w:r>
        <w:rPr>
          <w:rFonts w:ascii="Times New Roman" w:hAnsi="Times New Roman" w:cs="Times New Roman"/>
        </w:rPr>
        <w:t>to vastly disagree</w:t>
      </w:r>
      <w:proofErr w:type="gramEnd"/>
      <w:r>
        <w:rPr>
          <w:rFonts w:ascii="Times New Roman" w:hAnsi="Times New Roman" w:cs="Times New Roman"/>
        </w:rPr>
        <w:t xml:space="preserve"> over the meaning of probabilistic terms. When physicians </w:t>
      </w:r>
      <w:proofErr w:type="gramStart"/>
      <w:r>
        <w:rPr>
          <w:rFonts w:ascii="Times New Roman" w:hAnsi="Times New Roman" w:cs="Times New Roman"/>
        </w:rPr>
        <w:t>were asked</w:t>
      </w:r>
      <w:proofErr w:type="gramEnd"/>
      <w:r>
        <w:rPr>
          <w:rFonts w:ascii="Times New Roman" w:hAnsi="Times New Roman" w:cs="Times New Roman"/>
        </w:rPr>
        <w:t xml:space="preserve"> to put a numeric figure on the term “likely,” their answers ranged between 25% and 75%.</w:t>
      </w:r>
      <w:r>
        <w:rPr>
          <w:rStyle w:val="FootnoteReference"/>
          <w:rFonts w:ascii="Times New Roman" w:hAnsi="Times New Roman"/>
        </w:rPr>
        <w:footnoteReference w:id="291"/>
      </w:r>
      <w:r>
        <w:rPr>
          <w:rFonts w:ascii="Times New Roman" w:hAnsi="Times New Roman" w:cs="Times New Roman"/>
        </w:rPr>
        <w:t xml:space="preserve"> Similarly, the meaning of the term “very likely” ranged between 30% and 90%.</w:t>
      </w:r>
      <w:r>
        <w:rPr>
          <w:rStyle w:val="FootnoteReference"/>
          <w:rFonts w:ascii="Times New Roman" w:hAnsi="Times New Roman"/>
        </w:rPr>
        <w:footnoteReference w:id="292"/>
      </w:r>
      <w:r>
        <w:rPr>
          <w:rFonts w:ascii="Times New Roman" w:hAnsi="Times New Roman" w:cs="Times New Roman"/>
        </w:rPr>
        <w:t xml:space="preserve"> This, of course, does not imply that the law could not try to construct the social meaning of probabilistic terms, just as it attempts to do with respect to “reasonable doubt,” but one has to acknowledge at the outset the gravity of the task. </w:t>
      </w:r>
    </w:p>
    <w:p w14:paraId="6ACBDDEC" w14:textId="0C246610" w:rsidR="00DB23F8" w:rsidRDefault="00DB23F8" w:rsidP="007E5523">
      <w:pPr>
        <w:bidi w:val="0"/>
        <w:ind w:firstLine="720"/>
        <w:jc w:val="both"/>
        <w:rPr>
          <w:rFonts w:ascii="Times New Roman" w:hAnsi="Times New Roman" w:cs="Times New Roman"/>
        </w:rPr>
      </w:pPr>
      <w:r>
        <w:rPr>
          <w:rFonts w:ascii="Times New Roman" w:hAnsi="Times New Roman" w:cs="Times New Roman"/>
        </w:rPr>
        <w:t>An additional problem in the probabilistic context</w:t>
      </w:r>
      <w:r w:rsidR="00404B42">
        <w:rPr>
          <w:rFonts w:ascii="Times New Roman" w:hAnsi="Times New Roman" w:cs="Times New Roman"/>
        </w:rPr>
        <w:t xml:space="preserve"> that </w:t>
      </w:r>
      <w:r>
        <w:rPr>
          <w:rFonts w:ascii="Times New Roman" w:hAnsi="Times New Roman" w:cs="Times New Roman"/>
        </w:rPr>
        <w:t xml:space="preserve">the law can do very little about stems from </w:t>
      </w:r>
      <w:proofErr w:type="gramStart"/>
      <w:r>
        <w:rPr>
          <w:rFonts w:ascii="Times New Roman" w:hAnsi="Times New Roman" w:cs="Times New Roman"/>
        </w:rPr>
        <w:t>people</w:t>
      </w:r>
      <w:r w:rsidR="00404B42">
        <w:rPr>
          <w:rFonts w:ascii="Times New Roman" w:hAnsi="Times New Roman" w:cs="Times New Roman"/>
        </w:rPr>
        <w:t>’</w:t>
      </w:r>
      <w:r>
        <w:rPr>
          <w:rFonts w:ascii="Times New Roman" w:hAnsi="Times New Roman" w:cs="Times New Roman"/>
        </w:rPr>
        <w:t>s</w:t>
      </w:r>
      <w:proofErr w:type="gramEnd"/>
      <w:r>
        <w:rPr>
          <w:rFonts w:ascii="Times New Roman" w:hAnsi="Times New Roman" w:cs="Times New Roman"/>
        </w:rPr>
        <w:t xml:space="preserve"> poor understanding of probabilistic terms. While the readers of this Article (certainly those who have made it this far) know how many times a coin will come up heads if flipped 1,000 times</w:t>
      </w:r>
      <w:r w:rsidR="00614F36">
        <w:rPr>
          <w:rFonts w:ascii="Times New Roman" w:hAnsi="Times New Roman" w:cs="Times New Roman"/>
        </w:rPr>
        <w:t xml:space="preserve">, </w:t>
      </w:r>
      <w:r>
        <w:rPr>
          <w:rFonts w:ascii="Times New Roman" w:hAnsi="Times New Roman" w:cs="Times New Roman"/>
        </w:rPr>
        <w:t>can figure out what 1% of 1,000 is, and can turn a proportion such as 1:1,000 into a percentage, a significant part of the population cannot.</w:t>
      </w:r>
      <w:r>
        <w:rPr>
          <w:rStyle w:val="FootnoteReference"/>
          <w:rFonts w:ascii="Times New Roman" w:hAnsi="Times New Roman"/>
        </w:rPr>
        <w:footnoteReference w:id="293"/>
      </w:r>
      <w:r>
        <w:rPr>
          <w:rFonts w:ascii="Times New Roman" w:hAnsi="Times New Roman" w:cs="Times New Roman"/>
        </w:rPr>
        <w:t xml:space="preserve"> More specifically, one study found that </w:t>
      </w:r>
      <w:r w:rsidRPr="00DA0F4A">
        <w:rPr>
          <w:rFonts w:ascii="Times New Roman" w:hAnsi="Times New Roman" w:cs="Times New Roman"/>
        </w:rPr>
        <w:t xml:space="preserve">30% of </w:t>
      </w:r>
      <w:r w:rsidR="007E5523">
        <w:rPr>
          <w:rFonts w:ascii="Times New Roman" w:hAnsi="Times New Roman" w:cs="Times New Roman"/>
        </w:rPr>
        <w:t>people</w:t>
      </w:r>
      <w:r w:rsidRPr="00DA0F4A">
        <w:rPr>
          <w:rFonts w:ascii="Times New Roman" w:hAnsi="Times New Roman" w:cs="Times New Roman"/>
        </w:rPr>
        <w:t xml:space="preserve"> </w:t>
      </w:r>
      <w:r>
        <w:rPr>
          <w:rFonts w:ascii="Times New Roman" w:hAnsi="Times New Roman" w:cs="Times New Roman"/>
        </w:rPr>
        <w:t>with</w:t>
      </w:r>
      <w:r w:rsidRPr="00DA0F4A">
        <w:rPr>
          <w:rFonts w:ascii="Times New Roman" w:hAnsi="Times New Roman" w:cs="Times New Roman"/>
        </w:rPr>
        <w:t xml:space="preserve"> above-average literacy “had 0 correct</w:t>
      </w:r>
      <w:r>
        <w:rPr>
          <w:rFonts w:ascii="Times New Roman" w:hAnsi="Times New Roman" w:cs="Times New Roman"/>
        </w:rPr>
        <w:t xml:space="preserve"> </w:t>
      </w:r>
      <w:r w:rsidRPr="00DA0F4A">
        <w:rPr>
          <w:rFonts w:ascii="Times New Roman" w:hAnsi="Times New Roman" w:cs="Times New Roman"/>
        </w:rPr>
        <w:t>answers, 28% had 1 correct answer, 26% had 2 correct answers, and</w:t>
      </w:r>
      <w:r>
        <w:rPr>
          <w:rFonts w:ascii="Times New Roman" w:hAnsi="Times New Roman" w:cs="Times New Roman"/>
        </w:rPr>
        <w:t xml:space="preserve"> </w:t>
      </w:r>
      <w:r w:rsidRPr="00DA0F4A">
        <w:rPr>
          <w:rFonts w:ascii="Times New Roman" w:hAnsi="Times New Roman" w:cs="Times New Roman"/>
        </w:rPr>
        <w:t>16% had 3 correct answers.”</w:t>
      </w:r>
      <w:r>
        <w:rPr>
          <w:rStyle w:val="FootnoteReference"/>
          <w:rFonts w:ascii="Times New Roman" w:hAnsi="Times New Roman"/>
        </w:rPr>
        <w:footnoteReference w:id="294"/>
      </w:r>
      <w:r>
        <w:rPr>
          <w:rFonts w:ascii="Times New Roman" w:hAnsi="Times New Roman" w:cs="Times New Roman"/>
        </w:rPr>
        <w:t xml:space="preserve"> Given this level of comprehension, criminal law </w:t>
      </w:r>
      <w:proofErr w:type="gramStart"/>
      <w:r>
        <w:rPr>
          <w:rFonts w:ascii="Times New Roman" w:hAnsi="Times New Roman" w:cs="Times New Roman"/>
        </w:rPr>
        <w:t>cannot be expected</w:t>
      </w:r>
      <w:proofErr w:type="gramEnd"/>
      <w:r>
        <w:rPr>
          <w:rFonts w:ascii="Times New Roman" w:hAnsi="Times New Roman" w:cs="Times New Roman"/>
        </w:rPr>
        <w:t xml:space="preserve"> to communicate to the public the subtle nuances associated with probabilistic guilt. </w:t>
      </w:r>
    </w:p>
    <w:p w14:paraId="2A0DA909" w14:textId="77777777" w:rsidR="00DB23F8" w:rsidRDefault="00DB23F8" w:rsidP="00BC5262">
      <w:pPr>
        <w:bidi w:val="0"/>
        <w:ind w:firstLine="720"/>
        <w:jc w:val="both"/>
        <w:rPr>
          <w:rFonts w:ascii="Times New Roman" w:hAnsi="Times New Roman" w:cs="Times New Roman"/>
        </w:rPr>
      </w:pPr>
      <w:r>
        <w:rPr>
          <w:rFonts w:ascii="Times New Roman" w:hAnsi="Times New Roman" w:cs="Times New Roman"/>
        </w:rPr>
        <w:t xml:space="preserve">By utilizing the substantive path, however, the legal system can overcome these problems and simultaneously adjust sanctions in accordance with the probability of guilt and sustain the expressive function of the law. The substantive path requires the legal system to define the precise crimes that will lower the decision threshold. These crimes then become part of the communicative structure of criminal law. They convey a social message as to the degree of </w:t>
      </w:r>
      <w:r w:rsidR="00BC5262">
        <w:rPr>
          <w:rFonts w:ascii="Times New Roman" w:hAnsi="Times New Roman" w:cs="Times New Roman"/>
        </w:rPr>
        <w:t>evidentiary certainty</w:t>
      </w:r>
      <w:r>
        <w:rPr>
          <w:rFonts w:ascii="Times New Roman" w:hAnsi="Times New Roman" w:cs="Times New Roman"/>
        </w:rPr>
        <w:t xml:space="preserve"> and encompass a simple signal as to the level of condemnation </w:t>
      </w:r>
      <w:r w:rsidR="00863659">
        <w:rPr>
          <w:rFonts w:ascii="Times New Roman" w:hAnsi="Times New Roman" w:cs="Times New Roman"/>
        </w:rPr>
        <w:t>a</w:t>
      </w:r>
      <w:r>
        <w:rPr>
          <w:rFonts w:ascii="Times New Roman" w:hAnsi="Times New Roman" w:cs="Times New Roman"/>
        </w:rPr>
        <w:t xml:space="preserve"> defendant deserves. They state: “it has been proven beyond a reasonable doubt that the defendant committed a crime that reflects a 70% probability of guilt and should be punished accordingly.” Now, it is uncontested that this statement is awkward and that the Pulitzer Prize </w:t>
      </w:r>
      <w:proofErr w:type="gramStart"/>
      <w:r>
        <w:rPr>
          <w:rFonts w:ascii="Times New Roman" w:hAnsi="Times New Roman" w:cs="Times New Roman"/>
        </w:rPr>
        <w:t>will probably not be awarded</w:t>
      </w:r>
      <w:proofErr w:type="gramEnd"/>
      <w:r>
        <w:rPr>
          <w:rFonts w:ascii="Times New Roman" w:hAnsi="Times New Roman" w:cs="Times New Roman"/>
        </w:rPr>
        <w:t xml:space="preserve"> to the jurist who came up it. That said, this legal construct </w:t>
      </w:r>
      <w:proofErr w:type="gramStart"/>
      <w:r>
        <w:rPr>
          <w:rFonts w:ascii="Times New Roman" w:hAnsi="Times New Roman" w:cs="Times New Roman"/>
        </w:rPr>
        <w:t>can</w:t>
      </w:r>
      <w:proofErr w:type="gramEnd"/>
      <w:r>
        <w:rPr>
          <w:rFonts w:ascii="Times New Roman" w:hAnsi="Times New Roman" w:cs="Times New Roman"/>
        </w:rPr>
        <w:t xml:space="preserve"> </w:t>
      </w:r>
      <w:r>
        <w:rPr>
          <w:rFonts w:ascii="Times New Roman" w:hAnsi="Times New Roman" w:cs="Times New Roman"/>
        </w:rPr>
        <w:lastRenderedPageBreak/>
        <w:t xml:space="preserve">nevertheless achieve the core goal of grading penalties in accordance with the probability of guilt while sending a simple message to society. </w:t>
      </w:r>
    </w:p>
    <w:p w14:paraId="691A9350" w14:textId="77777777" w:rsidR="00DB23F8" w:rsidRPr="004E716C" w:rsidRDefault="00DB23F8" w:rsidP="00E07124">
      <w:pPr>
        <w:bidi w:val="0"/>
        <w:ind w:firstLine="720"/>
        <w:jc w:val="both"/>
        <w:rPr>
          <w:rFonts w:ascii="Times New Roman" w:hAnsi="Times New Roman" w:cs="Times New Roman"/>
        </w:rPr>
      </w:pPr>
      <w:r>
        <w:rPr>
          <w:rFonts w:ascii="Times New Roman" w:hAnsi="Times New Roman" w:cs="Times New Roman"/>
        </w:rPr>
        <w:t>To be sure, as the legal system shifts the treatment of evidentiary uncertainty into the substantive arena it runs the risk that it will erode the expressive power of the law. If the criminal law encompasses conduct that is not sufficiently tied to blameworthy behavior, it might lose its moral authority and its blaming power.</w:t>
      </w:r>
      <w:r>
        <w:rPr>
          <w:rStyle w:val="FootnoteReference"/>
          <w:rFonts w:ascii="Times New Roman" w:hAnsi="Times New Roman"/>
        </w:rPr>
        <w:footnoteReference w:id="295"/>
      </w:r>
      <w:r>
        <w:rPr>
          <w:rFonts w:ascii="Times New Roman" w:hAnsi="Times New Roman" w:cs="Times New Roman"/>
        </w:rPr>
        <w:t xml:space="preserve"> The goal of this Article is not to draw </w:t>
      </w:r>
      <w:r w:rsidR="00BF04B4">
        <w:rPr>
          <w:rFonts w:ascii="Times New Roman" w:hAnsi="Times New Roman" w:cs="Times New Roman"/>
        </w:rPr>
        <w:t xml:space="preserve">a </w:t>
      </w:r>
      <w:r>
        <w:rPr>
          <w:rFonts w:ascii="Times New Roman" w:hAnsi="Times New Roman" w:cs="Times New Roman"/>
        </w:rPr>
        <w:t>precise boundary between justifiable and unjustifiable prohibitions. Rather, it is to highlight the function of some prohibitions and to defend the conceptual framework that lies at their core.</w:t>
      </w:r>
    </w:p>
    <w:p w14:paraId="3B92441F" w14:textId="77777777" w:rsidR="00DB23F8" w:rsidRDefault="00DB23F8" w:rsidP="00EB56B1">
      <w:pPr>
        <w:pStyle w:val="ListParagraph"/>
        <w:numPr>
          <w:ilvl w:val="0"/>
          <w:numId w:val="5"/>
        </w:numPr>
        <w:bidi w:val="0"/>
        <w:jc w:val="center"/>
        <w:rPr>
          <w:rFonts w:ascii="Times New Roman" w:hAnsi="Times New Roman" w:cs="Times New Roman"/>
          <w:b/>
          <w:bCs/>
          <w:smallCaps/>
        </w:rPr>
      </w:pPr>
      <w:r w:rsidRPr="0014083A">
        <w:rPr>
          <w:rFonts w:ascii="Times New Roman" w:hAnsi="Times New Roman" w:cs="Times New Roman"/>
          <w:b/>
          <w:bCs/>
          <w:smallCaps/>
        </w:rPr>
        <w:t xml:space="preserve">Conclusion </w:t>
      </w:r>
    </w:p>
    <w:p w14:paraId="754C2DDA" w14:textId="77777777" w:rsidR="00DB23F8" w:rsidRDefault="00DB23F8" w:rsidP="008263C7">
      <w:pPr>
        <w:bidi w:val="0"/>
        <w:ind w:firstLine="720"/>
        <w:jc w:val="both"/>
        <w:rPr>
          <w:rFonts w:ascii="Times New Roman" w:hAnsi="Times New Roman" w:cs="Times New Roman"/>
        </w:rPr>
      </w:pPr>
      <w:r w:rsidRPr="00EB56B1">
        <w:rPr>
          <w:rFonts w:ascii="Times New Roman" w:hAnsi="Times New Roman" w:cs="Times New Roman"/>
        </w:rPr>
        <w:t xml:space="preserve">This </w:t>
      </w:r>
      <w:r>
        <w:rPr>
          <w:rFonts w:ascii="Times New Roman" w:hAnsi="Times New Roman" w:cs="Times New Roman"/>
        </w:rPr>
        <w:t xml:space="preserve">Article presented a theory of criminal punishment and evidentiary uncertainty. It argued that given the constitutional limitation on relaxing the burden of proof in criminal trials, legislatures have turned to substantive norms to structure the decision threshold. More specifically, legislatures have created a de facto evidentiary graded penal regime in which as the strength of the evidence grows so do the sanctions the offender is </w:t>
      </w:r>
      <w:proofErr w:type="gramStart"/>
      <w:r>
        <w:rPr>
          <w:rFonts w:ascii="Times New Roman" w:hAnsi="Times New Roman" w:cs="Times New Roman"/>
        </w:rPr>
        <w:t>subject to</w:t>
      </w:r>
      <w:proofErr w:type="gramEnd"/>
      <w:r>
        <w:rPr>
          <w:rFonts w:ascii="Times New Roman" w:hAnsi="Times New Roman" w:cs="Times New Roman"/>
        </w:rPr>
        <w:t xml:space="preserve">. The Article reviewed numerous doctrines of criminal law relating </w:t>
      </w:r>
      <w:proofErr w:type="gramStart"/>
      <w:r w:rsidRPr="002B585E">
        <w:rPr>
          <w:rFonts w:ascii="Times New Roman" w:hAnsi="Times New Roman" w:cs="Times New Roman"/>
        </w:rPr>
        <w:t xml:space="preserve">both </w:t>
      </w:r>
      <w:r>
        <w:rPr>
          <w:rFonts w:ascii="Times New Roman" w:hAnsi="Times New Roman" w:cs="Times New Roman"/>
        </w:rPr>
        <w:t>to the objective and the</w:t>
      </w:r>
      <w:proofErr w:type="gramEnd"/>
      <w:r>
        <w:rPr>
          <w:rFonts w:ascii="Times New Roman" w:hAnsi="Times New Roman" w:cs="Times New Roman"/>
        </w:rPr>
        <w:t xml:space="preserve"> subjective elements of the crime and showed how they fit within this theoretical framework. </w:t>
      </w:r>
    </w:p>
    <w:p w14:paraId="0688072C" w14:textId="77777777" w:rsidR="00DB23F8" w:rsidRDefault="00DB23F8" w:rsidP="00BC5262">
      <w:pPr>
        <w:bidi w:val="0"/>
        <w:ind w:firstLine="720"/>
        <w:jc w:val="both"/>
        <w:rPr>
          <w:rFonts w:ascii="Times New Roman" w:hAnsi="Times New Roman" w:cs="Times New Roman"/>
        </w:rPr>
      </w:pPr>
      <w:r>
        <w:rPr>
          <w:rFonts w:ascii="Times New Roman" w:hAnsi="Times New Roman" w:cs="Times New Roman"/>
        </w:rPr>
        <w:t xml:space="preserve">Significant research remains to </w:t>
      </w:r>
      <w:proofErr w:type="gramStart"/>
      <w:r>
        <w:rPr>
          <w:rFonts w:ascii="Times New Roman" w:hAnsi="Times New Roman" w:cs="Times New Roman"/>
        </w:rPr>
        <w:t>be done</w:t>
      </w:r>
      <w:proofErr w:type="gramEnd"/>
      <w:r>
        <w:rPr>
          <w:rFonts w:ascii="Times New Roman" w:hAnsi="Times New Roman" w:cs="Times New Roman"/>
        </w:rPr>
        <w:t xml:space="preserve"> based on the insights provided in this Article. On the theoretical side, this Article only sampled a small subset of doctrines from the universe of criminal law. Future studies should turn from the broad analysis associated with a paper presenting a general theory to a detailed analysis focusing on the unique </w:t>
      </w:r>
      <w:r w:rsidR="00BC5262">
        <w:rPr>
          <w:rFonts w:ascii="Times New Roman" w:hAnsi="Times New Roman" w:cs="Times New Roman"/>
        </w:rPr>
        <w:t>features</w:t>
      </w:r>
      <w:r>
        <w:rPr>
          <w:rFonts w:ascii="Times New Roman" w:hAnsi="Times New Roman" w:cs="Times New Roman"/>
        </w:rPr>
        <w:t xml:space="preserve"> of discrete legal contexts. Such an analysis could help map the scope of the explanatory force of the theory and delineate the domains in which other considerations trump. On the empirical side, this Article opens the door to a wide body of potential future research. This research could measure the degree to which peoples’ evidentiary confidence explains their penal intuitions. </w:t>
      </w:r>
    </w:p>
    <w:p w14:paraId="2B87E9F1" w14:textId="77777777" w:rsidR="00DB23F8" w:rsidRDefault="00DB23F8" w:rsidP="00285FF2">
      <w:pPr>
        <w:bidi w:val="0"/>
        <w:ind w:firstLine="720"/>
        <w:jc w:val="both"/>
        <w:rPr>
          <w:rFonts w:ascii="Times New Roman" w:hAnsi="Times New Roman" w:cs="Times New Roman"/>
        </w:rPr>
      </w:pPr>
    </w:p>
    <w:p w14:paraId="18269CEB" w14:textId="77777777" w:rsidR="00DB23F8" w:rsidRPr="00285FF2" w:rsidRDefault="00DB23F8" w:rsidP="00285FF2">
      <w:pPr>
        <w:bidi w:val="0"/>
        <w:ind w:firstLine="720"/>
        <w:jc w:val="both"/>
        <w:rPr>
          <w:rFonts w:ascii="Times New Roman" w:hAnsi="Times New Roman" w:cs="Times New Roman"/>
        </w:rPr>
      </w:pPr>
    </w:p>
    <w:p w14:paraId="1C5E9919" w14:textId="77777777" w:rsidR="00DB23F8" w:rsidRPr="00EB56B1" w:rsidRDefault="00DB23F8" w:rsidP="00285FF2">
      <w:pPr>
        <w:bidi w:val="0"/>
        <w:ind w:firstLine="720"/>
        <w:jc w:val="both"/>
        <w:rPr>
          <w:rFonts w:ascii="Times New Roman" w:hAnsi="Times New Roman" w:cs="Times New Roman"/>
        </w:rPr>
      </w:pPr>
      <w:r w:rsidRPr="00285FF2">
        <w:rPr>
          <w:rFonts w:ascii="Times New Roman" w:hAnsi="Times New Roman" w:cs="Times New Roman"/>
        </w:rPr>
        <w:t xml:space="preserve"> </w:t>
      </w:r>
    </w:p>
    <w:p w14:paraId="7424109F" w14:textId="77777777" w:rsidR="00DB23F8" w:rsidRPr="00EB56B1" w:rsidRDefault="00DB23F8">
      <w:pPr>
        <w:bidi w:val="0"/>
        <w:ind w:firstLine="720"/>
        <w:jc w:val="both"/>
        <w:rPr>
          <w:rFonts w:ascii="Times New Roman" w:hAnsi="Times New Roman" w:cs="Times New Roman"/>
        </w:rPr>
      </w:pPr>
    </w:p>
    <w:sectPr w:rsidR="00DB23F8" w:rsidRPr="00EB56B1" w:rsidSect="00880E6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1EBB6" w14:textId="77777777" w:rsidR="00EB0AE0" w:rsidRDefault="00EB0AE0" w:rsidP="00821B0B">
      <w:pPr>
        <w:spacing w:after="0" w:line="240" w:lineRule="auto"/>
      </w:pPr>
      <w:r>
        <w:separator/>
      </w:r>
    </w:p>
  </w:endnote>
  <w:endnote w:type="continuationSeparator" w:id="0">
    <w:p w14:paraId="43C6072D" w14:textId="77777777" w:rsidR="00EB0AE0" w:rsidRDefault="00EB0AE0" w:rsidP="0082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ldStyleSeven">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59E1D" w14:textId="77777777" w:rsidR="0095491D" w:rsidRPr="00C97F5D" w:rsidRDefault="0095491D" w:rsidP="00C97F5D">
    <w:pPr>
      <w:pStyle w:val="Footer"/>
      <w:jc w:val="center"/>
      <w:rPr>
        <w:rFonts w:ascii="Times New Roman" w:hAnsi="Times New Roman" w:cs="Times New Roman"/>
      </w:rPr>
    </w:pPr>
    <w:r w:rsidRPr="00C97F5D">
      <w:rPr>
        <w:rFonts w:ascii="Times New Roman" w:hAnsi="Times New Roman" w:cs="Times New Roman"/>
      </w:rPr>
      <w:fldChar w:fldCharType="begin"/>
    </w:r>
    <w:r w:rsidRPr="00C97F5D">
      <w:rPr>
        <w:rFonts w:ascii="Times New Roman" w:hAnsi="Times New Roman" w:cs="Times New Roman"/>
      </w:rPr>
      <w:instrText xml:space="preserve"> PAGE   \* MERGEFORMAT </w:instrText>
    </w:r>
    <w:r w:rsidRPr="00C97F5D">
      <w:rPr>
        <w:rFonts w:ascii="Times New Roman" w:hAnsi="Times New Roman" w:cs="Times New Roman"/>
      </w:rPr>
      <w:fldChar w:fldCharType="separate"/>
    </w:r>
    <w:r w:rsidR="00D95BE2">
      <w:rPr>
        <w:rFonts w:ascii="Times New Roman" w:hAnsi="Times New Roman" w:cs="Times New Roman"/>
        <w:noProof/>
        <w:rtl/>
      </w:rPr>
      <w:t>42</w:t>
    </w:r>
    <w:r w:rsidRPr="00C97F5D">
      <w:rPr>
        <w:rFonts w:ascii="Times New Roman" w:hAnsi="Times New Roman" w:cs="Times New Roman"/>
      </w:rPr>
      <w:fldChar w:fldCharType="end"/>
    </w:r>
  </w:p>
  <w:p w14:paraId="7EFF7681" w14:textId="77777777" w:rsidR="0095491D" w:rsidRPr="00C97F5D" w:rsidRDefault="0095491D" w:rsidP="00C97F5D">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D139B" w14:textId="77777777" w:rsidR="00EB0AE0" w:rsidRDefault="00EB0AE0" w:rsidP="00821B0B">
      <w:pPr>
        <w:spacing w:after="0" w:line="240" w:lineRule="auto"/>
      </w:pPr>
      <w:r>
        <w:separator/>
      </w:r>
    </w:p>
  </w:footnote>
  <w:footnote w:type="continuationSeparator" w:id="0">
    <w:p w14:paraId="422FCE86" w14:textId="77777777" w:rsidR="00EB0AE0" w:rsidRDefault="00EB0AE0" w:rsidP="00821B0B">
      <w:pPr>
        <w:spacing w:after="0" w:line="240" w:lineRule="auto"/>
      </w:pPr>
      <w:r>
        <w:continuationSeparator/>
      </w:r>
    </w:p>
  </w:footnote>
  <w:footnote w:id="1">
    <w:p w14:paraId="449E5991" w14:textId="7A74A71B" w:rsidR="0095491D" w:rsidRPr="000B073B" w:rsidRDefault="0095491D" w:rsidP="00216045">
      <w:pPr>
        <w:bidi w:val="0"/>
        <w:spacing w:after="0" w:line="240" w:lineRule="auto"/>
        <w:jc w:val="both"/>
        <w:rPr>
          <w:rFonts w:asciiTheme="majorBidi" w:hAnsiTheme="majorBidi" w:cstheme="majorBidi"/>
          <w:sz w:val="20"/>
          <w:szCs w:val="20"/>
        </w:rPr>
      </w:pPr>
      <w:r w:rsidRPr="000B073B">
        <w:rPr>
          <w:rFonts w:asciiTheme="majorBidi" w:hAnsiTheme="majorBidi" w:cstheme="majorBidi"/>
          <w:sz w:val="20"/>
          <w:szCs w:val="20"/>
          <w:rtl/>
        </w:rPr>
        <w:t xml:space="preserve">* </w:t>
      </w:r>
      <w:r w:rsidRPr="000B073B">
        <w:rPr>
          <w:rFonts w:asciiTheme="majorBidi" w:hAnsiTheme="majorBidi" w:cstheme="majorBidi"/>
          <w:sz w:val="20"/>
          <w:szCs w:val="20"/>
        </w:rPr>
        <w:t xml:space="preserve"> The Joseph H. </w:t>
      </w:r>
      <w:proofErr w:type="gramStart"/>
      <w:r w:rsidRPr="000B073B">
        <w:rPr>
          <w:rFonts w:asciiTheme="majorBidi" w:hAnsiTheme="majorBidi" w:cstheme="majorBidi"/>
          <w:sz w:val="20"/>
          <w:szCs w:val="20"/>
        </w:rPr>
        <w:t>and</w:t>
      </w:r>
      <w:proofErr w:type="gramEnd"/>
      <w:r w:rsidRPr="000B073B">
        <w:rPr>
          <w:rFonts w:asciiTheme="majorBidi" w:hAnsiTheme="majorBidi" w:cstheme="majorBidi"/>
          <w:sz w:val="20"/>
          <w:szCs w:val="20"/>
        </w:rPr>
        <w:t xml:space="preserve"> Belle R. Braun Professor, Faculty of Law, the Hebrew University of Jerusalem. For helpful </w:t>
      </w:r>
      <w:proofErr w:type="gramStart"/>
      <w:r w:rsidRPr="000B073B">
        <w:rPr>
          <w:rFonts w:asciiTheme="majorBidi" w:hAnsiTheme="majorBidi" w:cstheme="majorBidi"/>
          <w:sz w:val="20"/>
          <w:szCs w:val="20"/>
        </w:rPr>
        <w:t>comments</w:t>
      </w:r>
      <w:proofErr w:type="gramEnd"/>
      <w:r w:rsidRPr="000B073B">
        <w:rPr>
          <w:rFonts w:asciiTheme="majorBidi" w:hAnsiTheme="majorBidi" w:cstheme="majorBidi"/>
          <w:sz w:val="20"/>
          <w:szCs w:val="20"/>
        </w:rPr>
        <w:t xml:space="preserve"> I am grateful to Hadar Dancig-Rosenberg, David Enoch, Miri Gur-</w:t>
      </w:r>
      <w:proofErr w:type="spellStart"/>
      <w:r w:rsidRPr="000B073B">
        <w:rPr>
          <w:rFonts w:asciiTheme="majorBidi" w:hAnsiTheme="majorBidi" w:cstheme="majorBidi"/>
          <w:sz w:val="20"/>
          <w:szCs w:val="20"/>
        </w:rPr>
        <w:t>Arie</w:t>
      </w:r>
      <w:proofErr w:type="spellEnd"/>
      <w:r w:rsidRPr="000B073B">
        <w:rPr>
          <w:rFonts w:asciiTheme="majorBidi" w:hAnsiTheme="majorBidi" w:cstheme="majorBidi"/>
          <w:sz w:val="20"/>
          <w:szCs w:val="20"/>
        </w:rPr>
        <w:t xml:space="preserve">, Ehud Guttel, Murat Mungan, Henrik Lando and participants of workshops at Bar Ilan University, Haifa University and the Hebrew University. </w:t>
      </w:r>
    </w:p>
  </w:footnote>
  <w:footnote w:id="2">
    <w:p w14:paraId="09DEE612" w14:textId="77777777" w:rsidR="0095491D" w:rsidRPr="000B073B" w:rsidRDefault="0095491D" w:rsidP="005363C5">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proofErr w:type="gramStart"/>
      <w:r w:rsidRPr="000B073B">
        <w:rPr>
          <w:rFonts w:asciiTheme="majorBidi" w:hAnsiTheme="majorBidi" w:cstheme="majorBidi"/>
          <w:smallCaps/>
        </w:rPr>
        <w:t>4</w:t>
      </w:r>
      <w:proofErr w:type="gramEnd"/>
      <w:r w:rsidRPr="000B073B">
        <w:rPr>
          <w:rFonts w:asciiTheme="majorBidi" w:hAnsiTheme="majorBidi" w:cstheme="majorBidi"/>
          <w:smallCaps/>
        </w:rPr>
        <w:t xml:space="preserve"> William Blackstone, Commentaries on the Laws of England</w:t>
      </w:r>
      <w:r w:rsidRPr="000B073B">
        <w:rPr>
          <w:rFonts w:asciiTheme="majorBidi" w:hAnsiTheme="majorBidi" w:cstheme="majorBidi"/>
        </w:rPr>
        <w:t xml:space="preserve"> 358-59 (Oxford, Clarendon Press 1769).</w:t>
      </w:r>
    </w:p>
  </w:footnote>
  <w:footnote w:id="3">
    <w:p w14:paraId="472D0493" w14:textId="77777777" w:rsidR="0095491D" w:rsidRPr="000B073B" w:rsidRDefault="0095491D" w:rsidP="00A51402">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Letter from Benjamin Franklin to Benjamin Vaughan (Mar. 14, 1785), </w:t>
      </w:r>
      <w:r w:rsidRPr="000B073B">
        <w:rPr>
          <w:rFonts w:asciiTheme="majorBidi" w:hAnsiTheme="majorBidi" w:cstheme="majorBidi"/>
          <w:i/>
          <w:iCs/>
        </w:rPr>
        <w:t>in</w:t>
      </w:r>
      <w:r w:rsidRPr="000B073B">
        <w:rPr>
          <w:rFonts w:asciiTheme="majorBidi" w:hAnsiTheme="majorBidi" w:cstheme="majorBidi"/>
        </w:rPr>
        <w:t xml:space="preserve"> 11 </w:t>
      </w:r>
      <w:r w:rsidRPr="000B073B">
        <w:rPr>
          <w:rFonts w:asciiTheme="majorBidi" w:hAnsiTheme="majorBidi" w:cstheme="majorBidi"/>
          <w:smallCaps/>
        </w:rPr>
        <w:t>The Works of Benjamin Franklin</w:t>
      </w:r>
      <w:r w:rsidRPr="000B073B">
        <w:rPr>
          <w:rFonts w:asciiTheme="majorBidi" w:hAnsiTheme="majorBidi" w:cstheme="majorBidi"/>
        </w:rPr>
        <w:t xml:space="preserve"> 11, 13 (John Bigelow ed., 1904).</w:t>
      </w:r>
    </w:p>
  </w:footnote>
  <w:footnote w:id="4">
    <w:p w14:paraId="2515528C" w14:textId="77777777" w:rsidR="0095491D" w:rsidRPr="000B073B" w:rsidRDefault="0095491D" w:rsidP="00A51402">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proofErr w:type="gramStart"/>
      <w:r w:rsidRPr="000B073B">
        <w:rPr>
          <w:rFonts w:asciiTheme="majorBidi" w:hAnsiTheme="majorBidi" w:cstheme="majorBidi"/>
        </w:rPr>
        <w:t>2</w:t>
      </w:r>
      <w:proofErr w:type="gramEnd"/>
      <w:r w:rsidRPr="000B073B">
        <w:rPr>
          <w:rFonts w:asciiTheme="majorBidi" w:hAnsiTheme="majorBidi" w:cstheme="majorBidi"/>
        </w:rPr>
        <w:t xml:space="preserve"> </w:t>
      </w:r>
      <w:r w:rsidRPr="000B073B">
        <w:rPr>
          <w:rFonts w:asciiTheme="majorBidi" w:hAnsiTheme="majorBidi" w:cstheme="majorBidi"/>
          <w:smallCaps/>
        </w:rPr>
        <w:t>Moses Maimonides, The Commandments</w:t>
      </w:r>
      <w:r w:rsidRPr="000B073B">
        <w:rPr>
          <w:rFonts w:asciiTheme="majorBidi" w:hAnsiTheme="majorBidi" w:cstheme="majorBidi"/>
        </w:rPr>
        <w:t xml:space="preserve"> 270 (Charles B. </w:t>
      </w:r>
      <w:proofErr w:type="spellStart"/>
      <w:r w:rsidRPr="000B073B">
        <w:rPr>
          <w:rFonts w:asciiTheme="majorBidi" w:hAnsiTheme="majorBidi" w:cstheme="majorBidi"/>
        </w:rPr>
        <w:t>Chavel</w:t>
      </w:r>
      <w:proofErr w:type="spellEnd"/>
      <w:r w:rsidRPr="000B073B">
        <w:rPr>
          <w:rFonts w:asciiTheme="majorBidi" w:hAnsiTheme="majorBidi" w:cstheme="majorBidi"/>
        </w:rPr>
        <w:t xml:space="preserve"> trans., Soncino Press 1967). For a review of the different ratios presented in the legal literature see Alexander </w:t>
      </w:r>
      <w:proofErr w:type="spellStart"/>
      <w:r w:rsidRPr="000B073B">
        <w:rPr>
          <w:rFonts w:asciiTheme="majorBidi" w:hAnsiTheme="majorBidi" w:cstheme="majorBidi"/>
        </w:rPr>
        <w:t>Volokh</w:t>
      </w:r>
      <w:proofErr w:type="spellEnd"/>
      <w:r w:rsidRPr="000B073B">
        <w:rPr>
          <w:rFonts w:asciiTheme="majorBidi" w:hAnsiTheme="majorBidi" w:cstheme="majorBidi"/>
        </w:rPr>
        <w:t xml:space="preserve">, </w:t>
      </w:r>
      <w:r w:rsidRPr="000B073B">
        <w:rPr>
          <w:rFonts w:asciiTheme="majorBidi" w:hAnsiTheme="majorBidi" w:cstheme="majorBidi"/>
          <w:i/>
          <w:iCs/>
        </w:rPr>
        <w:t>n Guilty Men</w:t>
      </w:r>
      <w:r w:rsidRPr="000B073B">
        <w:rPr>
          <w:rFonts w:asciiTheme="majorBidi" w:hAnsiTheme="majorBidi" w:cstheme="majorBidi"/>
        </w:rPr>
        <w:t xml:space="preserve">, 146 </w:t>
      </w:r>
      <w:r w:rsidRPr="000B073B">
        <w:rPr>
          <w:rFonts w:asciiTheme="majorBidi" w:hAnsiTheme="majorBidi" w:cstheme="majorBidi"/>
          <w:smallCaps/>
        </w:rPr>
        <w:t>U. Pa L. Rev</w:t>
      </w:r>
      <w:r w:rsidRPr="000B073B">
        <w:rPr>
          <w:rFonts w:asciiTheme="majorBidi" w:hAnsiTheme="majorBidi" w:cstheme="majorBidi"/>
        </w:rPr>
        <w:t>. 173 (1997).</w:t>
      </w:r>
    </w:p>
  </w:footnote>
  <w:footnote w:id="5">
    <w:p w14:paraId="3E0C81DA" w14:textId="77777777" w:rsidR="0095491D" w:rsidRPr="000B073B" w:rsidRDefault="0095491D" w:rsidP="00F67AD0">
      <w:pPr>
        <w:pStyle w:val="Default"/>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smallCaps/>
          <w:sz w:val="20"/>
          <w:szCs w:val="20"/>
        </w:rPr>
        <w:t>Alex Stein, Foundations of Evidence Law</w:t>
      </w:r>
      <w:r w:rsidRPr="000B073B">
        <w:rPr>
          <w:rFonts w:asciiTheme="majorBidi" w:hAnsiTheme="majorBidi" w:cstheme="majorBidi"/>
          <w:sz w:val="20"/>
          <w:szCs w:val="20"/>
        </w:rPr>
        <w:t xml:space="preserve"> 172, 177-78 (2005).  </w:t>
      </w:r>
    </w:p>
  </w:footnote>
  <w:footnote w:id="6">
    <w:p w14:paraId="353F2F19" w14:textId="2467823F" w:rsidR="0095491D" w:rsidRPr="000B073B" w:rsidRDefault="0095491D" w:rsidP="0029480F">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sz w:val="20"/>
          <w:szCs w:val="20"/>
        </w:rPr>
        <w:t xml:space="preserve"> </w:t>
      </w:r>
      <w:r w:rsidRPr="000B073B">
        <w:rPr>
          <w:rFonts w:asciiTheme="majorBidi" w:hAnsiTheme="majorBidi" w:cstheme="majorBidi"/>
          <w:i/>
          <w:iCs/>
          <w:sz w:val="20"/>
          <w:szCs w:val="20"/>
        </w:rPr>
        <w:t>See</w:t>
      </w:r>
      <w:r w:rsidRPr="000B073B">
        <w:rPr>
          <w:rFonts w:asciiTheme="majorBidi" w:hAnsiTheme="majorBidi" w:cstheme="majorBidi"/>
          <w:sz w:val="20"/>
          <w:szCs w:val="20"/>
        </w:rPr>
        <w:t xml:space="preserve"> Rollin M. Perkins, </w:t>
      </w:r>
      <w:r w:rsidRPr="000B073B">
        <w:rPr>
          <w:rFonts w:asciiTheme="majorBidi" w:hAnsiTheme="majorBidi" w:cstheme="majorBidi"/>
          <w:i/>
          <w:iCs/>
          <w:sz w:val="20"/>
          <w:szCs w:val="20"/>
        </w:rPr>
        <w:t>Criminal Attempt and Related Problems</w:t>
      </w:r>
      <w:r w:rsidRPr="000B073B">
        <w:rPr>
          <w:rFonts w:asciiTheme="majorBidi" w:hAnsiTheme="majorBidi" w:cstheme="majorBidi"/>
          <w:sz w:val="20"/>
          <w:szCs w:val="20"/>
        </w:rPr>
        <w:t xml:space="preserve">, </w:t>
      </w:r>
      <w:r w:rsidRPr="000B073B">
        <w:rPr>
          <w:rFonts w:asciiTheme="majorBidi" w:hAnsiTheme="majorBidi" w:cstheme="majorBidi"/>
          <w:sz w:val="20"/>
          <w:szCs w:val="20"/>
          <w:lang w:eastAsia="en-CA"/>
        </w:rPr>
        <w:t xml:space="preserve">2 </w:t>
      </w:r>
      <w:r w:rsidRPr="000B073B">
        <w:rPr>
          <w:rFonts w:asciiTheme="majorBidi" w:hAnsiTheme="majorBidi" w:cstheme="majorBidi"/>
          <w:smallCaps/>
          <w:sz w:val="20"/>
          <w:szCs w:val="20"/>
          <w:lang w:eastAsia="en-CA"/>
        </w:rPr>
        <w:t>UCLA L. Rev</w:t>
      </w:r>
      <w:r w:rsidRPr="000B073B">
        <w:rPr>
          <w:rFonts w:asciiTheme="majorBidi" w:hAnsiTheme="majorBidi" w:cstheme="majorBidi"/>
          <w:sz w:val="20"/>
          <w:szCs w:val="20"/>
          <w:lang w:eastAsia="en-CA"/>
        </w:rPr>
        <w:t>. 319, 325 (1954)</w:t>
      </w:r>
      <w:r w:rsidRPr="000B073B">
        <w:rPr>
          <w:rFonts w:asciiTheme="majorBidi" w:hAnsiTheme="majorBidi" w:cstheme="majorBidi"/>
          <w:sz w:val="20"/>
          <w:szCs w:val="20"/>
        </w:rPr>
        <w:t xml:space="preserve"> (“</w:t>
      </w:r>
      <w:r w:rsidRPr="000B073B">
        <w:rPr>
          <w:rFonts w:asciiTheme="majorBidi" w:hAnsiTheme="majorBidi" w:cstheme="majorBidi"/>
          <w:sz w:val="20"/>
          <w:szCs w:val="20"/>
          <w:lang w:eastAsia="en-CA"/>
        </w:rPr>
        <w:t>as the common law is concerned there is no criminal attempt unless what was done went beyond the stage of preparation”</w:t>
      </w:r>
      <w:r w:rsidRPr="000B073B">
        <w:rPr>
          <w:rFonts w:asciiTheme="majorBidi" w:hAnsiTheme="majorBidi" w:cstheme="majorBidi"/>
          <w:sz w:val="20"/>
          <w:szCs w:val="20"/>
        </w:rPr>
        <w:t>)</w:t>
      </w:r>
    </w:p>
  </w:footnote>
  <w:footnote w:id="7">
    <w:p w14:paraId="37CE871D" w14:textId="7609F5BD" w:rsidR="0095491D" w:rsidRPr="000B073B" w:rsidRDefault="0095491D" w:rsidP="0029480F">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w:t>
      </w:r>
    </w:p>
  </w:footnote>
  <w:footnote w:id="8">
    <w:p w14:paraId="266A2022" w14:textId="02CEE0EA" w:rsidR="0095491D" w:rsidRPr="000B073B" w:rsidRDefault="0095491D" w:rsidP="00467A0A">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infra</w:t>
      </w:r>
      <w:r w:rsidRPr="000B073B">
        <w:rPr>
          <w:rFonts w:asciiTheme="majorBidi" w:hAnsiTheme="majorBidi" w:cstheme="majorBidi"/>
        </w:rPr>
        <w:t xml:space="preserve"> notes </w:t>
      </w:r>
      <w:r w:rsidRPr="000B073B">
        <w:rPr>
          <w:rFonts w:asciiTheme="majorBidi" w:hAnsiTheme="majorBidi" w:cstheme="majorBidi"/>
        </w:rPr>
        <w:fldChar w:fldCharType="begin"/>
      </w:r>
      <w:r w:rsidRPr="000B073B">
        <w:rPr>
          <w:rFonts w:asciiTheme="majorBidi" w:hAnsiTheme="majorBidi" w:cstheme="majorBidi"/>
        </w:rPr>
        <w:instrText xml:space="preserve"> NOTEREF _Ref242525539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153</w:t>
      </w:r>
      <w:r w:rsidRPr="000B073B">
        <w:rPr>
          <w:rFonts w:asciiTheme="majorBidi" w:hAnsiTheme="majorBidi" w:cstheme="majorBidi"/>
        </w:rPr>
        <w:fldChar w:fldCharType="end"/>
      </w:r>
      <w:r w:rsidRPr="000B073B">
        <w:rPr>
          <w:rFonts w:asciiTheme="majorBidi" w:hAnsiTheme="majorBidi" w:cstheme="majorBidi"/>
        </w:rPr>
        <w:t>-</w:t>
      </w:r>
      <w:r w:rsidRPr="000B073B">
        <w:rPr>
          <w:rFonts w:asciiTheme="majorBidi" w:hAnsiTheme="majorBidi" w:cstheme="majorBidi"/>
        </w:rPr>
        <w:fldChar w:fldCharType="begin"/>
      </w:r>
      <w:r w:rsidRPr="000B073B">
        <w:rPr>
          <w:rFonts w:asciiTheme="majorBidi" w:hAnsiTheme="majorBidi" w:cstheme="majorBidi"/>
        </w:rPr>
        <w:instrText xml:space="preserve"> NOTEREF _Ref465600442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187</w:t>
      </w:r>
      <w:r w:rsidRPr="000B073B">
        <w:rPr>
          <w:rFonts w:asciiTheme="majorBidi" w:hAnsiTheme="majorBidi" w:cstheme="majorBidi"/>
        </w:rPr>
        <w:fldChar w:fldCharType="end"/>
      </w:r>
      <w:r w:rsidRPr="000B073B">
        <w:rPr>
          <w:rFonts w:asciiTheme="majorBidi" w:hAnsiTheme="majorBidi" w:cstheme="majorBidi"/>
        </w:rPr>
        <w:t xml:space="preserve"> and accompanying text.</w:t>
      </w:r>
    </w:p>
  </w:footnote>
  <w:footnote w:id="9">
    <w:p w14:paraId="6D8F0E82" w14:textId="77777777" w:rsidR="0095491D" w:rsidRPr="000B073B" w:rsidRDefault="0095491D" w:rsidP="00371E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This concept goes back to Blackstone who preferred to allow ten guilty men to “escape” (</w:t>
      </w:r>
      <w:proofErr w:type="gramStart"/>
      <w:r w:rsidRPr="000B073B">
        <w:rPr>
          <w:rFonts w:asciiTheme="majorBidi" w:hAnsiTheme="majorBidi" w:cstheme="majorBidi"/>
        </w:rPr>
        <w:t>4</w:t>
      </w:r>
      <w:proofErr w:type="gramEnd"/>
      <w:r w:rsidRPr="000B073B">
        <w:rPr>
          <w:rFonts w:asciiTheme="majorBidi" w:hAnsiTheme="majorBidi" w:cstheme="majorBidi"/>
        </w:rPr>
        <w:t xml:space="preserve"> </w:t>
      </w:r>
      <w:r w:rsidRPr="000B073B">
        <w:rPr>
          <w:rFonts w:asciiTheme="majorBidi" w:hAnsiTheme="majorBidi" w:cstheme="majorBidi"/>
          <w:smallCaps/>
        </w:rPr>
        <w:t>Blackstone</w:t>
      </w:r>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1), yet is also embedded into the rhetoric of the Supreme Court. </w:t>
      </w:r>
      <w:r w:rsidRPr="000B073B">
        <w:rPr>
          <w:rFonts w:asciiTheme="majorBidi" w:hAnsiTheme="majorBidi" w:cstheme="majorBidi"/>
          <w:i/>
          <w:iCs/>
        </w:rPr>
        <w:t>See, e.g.</w:t>
      </w:r>
      <w:r w:rsidRPr="000B073B">
        <w:rPr>
          <w:rFonts w:asciiTheme="majorBidi" w:hAnsiTheme="majorBidi" w:cstheme="majorBidi"/>
        </w:rPr>
        <w:t xml:space="preserve">, </w:t>
      </w:r>
      <w:r w:rsidRPr="000B073B">
        <w:rPr>
          <w:rFonts w:asciiTheme="majorBidi" w:hAnsiTheme="majorBidi" w:cstheme="majorBidi"/>
          <w:i/>
          <w:iCs/>
        </w:rPr>
        <w:t>In re</w:t>
      </w:r>
      <w:r w:rsidRPr="000B073B">
        <w:rPr>
          <w:rFonts w:asciiTheme="majorBidi" w:hAnsiTheme="majorBidi" w:cstheme="majorBidi"/>
        </w:rPr>
        <w:t xml:space="preserve"> </w:t>
      </w:r>
      <w:proofErr w:type="spellStart"/>
      <w:r w:rsidRPr="000B073B">
        <w:rPr>
          <w:rFonts w:asciiTheme="majorBidi" w:hAnsiTheme="majorBidi" w:cstheme="majorBidi"/>
        </w:rPr>
        <w:t>Winship</w:t>
      </w:r>
      <w:proofErr w:type="spellEnd"/>
      <w:r w:rsidRPr="000B073B">
        <w:rPr>
          <w:rFonts w:asciiTheme="majorBidi" w:hAnsiTheme="majorBidi" w:cstheme="majorBidi"/>
        </w:rPr>
        <w:t xml:space="preserve">, 397 U.S. 358, 372 (1970) (“it is far worse to convict an innocent man than to let a guilty man go free”). Casebooks teaching criminal law also follow suite and present the question as one entailing either a conviction or a complete acquittal. </w:t>
      </w:r>
      <w:r w:rsidRPr="000B073B">
        <w:rPr>
          <w:rFonts w:asciiTheme="majorBidi" w:hAnsiTheme="majorBidi" w:cstheme="majorBidi"/>
          <w:i/>
          <w:iCs/>
        </w:rPr>
        <w:t>See, e.g.</w:t>
      </w:r>
      <w:r w:rsidRPr="000B073B">
        <w:rPr>
          <w:rFonts w:asciiTheme="majorBidi" w:hAnsiTheme="majorBidi" w:cstheme="majorBidi"/>
        </w:rPr>
        <w:t xml:space="preserve">, </w:t>
      </w:r>
      <w:r w:rsidRPr="000B073B">
        <w:rPr>
          <w:rFonts w:asciiTheme="majorBidi" w:hAnsiTheme="majorBidi" w:cstheme="majorBidi"/>
          <w:smallCaps/>
        </w:rPr>
        <w:t xml:space="preserve">Sanford H. </w:t>
      </w:r>
      <w:proofErr w:type="spellStart"/>
      <w:r w:rsidRPr="000B073B">
        <w:rPr>
          <w:rFonts w:asciiTheme="majorBidi" w:hAnsiTheme="majorBidi" w:cstheme="majorBidi"/>
          <w:smallCaps/>
        </w:rPr>
        <w:t>Kadish</w:t>
      </w:r>
      <w:proofErr w:type="spellEnd"/>
      <w:r w:rsidRPr="000B073B">
        <w:rPr>
          <w:rFonts w:asciiTheme="majorBidi" w:hAnsiTheme="majorBidi" w:cstheme="majorBidi"/>
          <w:smallCaps/>
        </w:rPr>
        <w:t xml:space="preserve"> et al., Criminal Law and its Process</w:t>
      </w:r>
      <w:r w:rsidRPr="000B073B">
        <w:rPr>
          <w:rFonts w:asciiTheme="majorBidi" w:hAnsiTheme="majorBidi" w:cstheme="majorBidi"/>
        </w:rPr>
        <w:t xml:space="preserve"> 33 (9th ed., 2012) (posing the question: “how can we really be sure that it is less ‘costly’ to release ten (or one hundred) suspected serial killers who are guilty than to convict one suspected serial killer who is innocent?”).</w:t>
      </w:r>
    </w:p>
  </w:footnote>
  <w:footnote w:id="10">
    <w:p w14:paraId="242C8F09" w14:textId="717F51BB" w:rsidR="0095491D" w:rsidRPr="000B073B" w:rsidRDefault="0095491D" w:rsidP="00467A0A">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i/>
          <w:iCs/>
          <w:sz w:val="20"/>
          <w:szCs w:val="20"/>
        </w:rPr>
        <w:t>See</w:t>
      </w:r>
      <w:r w:rsidRPr="000B073B">
        <w:rPr>
          <w:rFonts w:asciiTheme="majorBidi" w:hAnsiTheme="majorBidi" w:cstheme="majorBidi"/>
          <w:sz w:val="20"/>
          <w:szCs w:val="20"/>
        </w:rPr>
        <w:t xml:space="preserve"> Talia Fisher, </w:t>
      </w:r>
      <w:r w:rsidRPr="000B073B">
        <w:rPr>
          <w:rFonts w:asciiTheme="majorBidi" w:hAnsiTheme="majorBidi" w:cstheme="majorBidi"/>
          <w:i/>
          <w:iCs/>
          <w:sz w:val="20"/>
          <w:szCs w:val="20"/>
        </w:rPr>
        <w:t>Conviction Without Conviction</w:t>
      </w:r>
      <w:r w:rsidRPr="000B073B">
        <w:rPr>
          <w:rFonts w:asciiTheme="majorBidi" w:hAnsiTheme="majorBidi" w:cstheme="majorBidi"/>
          <w:sz w:val="20"/>
          <w:szCs w:val="20"/>
        </w:rPr>
        <w:t xml:space="preserve">, 96 </w:t>
      </w:r>
      <w:r w:rsidRPr="000B073B">
        <w:rPr>
          <w:rFonts w:asciiTheme="majorBidi" w:hAnsiTheme="majorBidi" w:cstheme="majorBidi"/>
          <w:smallCaps/>
          <w:sz w:val="20"/>
          <w:szCs w:val="20"/>
        </w:rPr>
        <w:t>Minn. L. Rev</w:t>
      </w:r>
      <w:r w:rsidRPr="000B073B">
        <w:rPr>
          <w:rFonts w:asciiTheme="majorBidi" w:hAnsiTheme="majorBidi" w:cstheme="majorBidi"/>
          <w:sz w:val="20"/>
          <w:szCs w:val="20"/>
        </w:rPr>
        <w:t xml:space="preserve">. 833, 868 (2012). </w:t>
      </w:r>
      <w:r w:rsidRPr="000B073B">
        <w:rPr>
          <w:rFonts w:asciiTheme="majorBidi" w:hAnsiTheme="majorBidi" w:cstheme="majorBidi"/>
          <w:i/>
          <w:iCs/>
          <w:sz w:val="20"/>
          <w:szCs w:val="20"/>
        </w:rPr>
        <w:t>See also</w:t>
      </w:r>
      <w:r w:rsidRPr="000B073B">
        <w:rPr>
          <w:rFonts w:asciiTheme="majorBidi" w:hAnsiTheme="majorBidi" w:cstheme="majorBidi"/>
          <w:sz w:val="20"/>
          <w:szCs w:val="20"/>
        </w:rPr>
        <w:t xml:space="preserve"> Adam J. </w:t>
      </w:r>
      <w:proofErr w:type="spellStart"/>
      <w:r w:rsidRPr="000B073B">
        <w:rPr>
          <w:rFonts w:asciiTheme="majorBidi" w:hAnsiTheme="majorBidi" w:cstheme="majorBidi"/>
          <w:sz w:val="20"/>
          <w:szCs w:val="20"/>
        </w:rPr>
        <w:t>Kolber</w:t>
      </w:r>
      <w:proofErr w:type="spellEnd"/>
      <w:r w:rsidRPr="000B073B">
        <w:rPr>
          <w:rFonts w:asciiTheme="majorBidi" w:hAnsiTheme="majorBidi" w:cstheme="majorBidi"/>
          <w:sz w:val="20"/>
          <w:szCs w:val="20"/>
        </w:rPr>
        <w:t xml:space="preserve">, </w:t>
      </w:r>
      <w:r w:rsidRPr="000B073B">
        <w:rPr>
          <w:rFonts w:asciiTheme="majorBidi" w:hAnsiTheme="majorBidi" w:cstheme="majorBidi"/>
          <w:i/>
          <w:iCs/>
          <w:sz w:val="20"/>
          <w:szCs w:val="20"/>
        </w:rPr>
        <w:t>Smooth and Bumpy Law</w:t>
      </w:r>
      <w:r w:rsidRPr="000B073B">
        <w:rPr>
          <w:rFonts w:asciiTheme="majorBidi" w:hAnsiTheme="majorBidi" w:cstheme="majorBidi"/>
          <w:sz w:val="20"/>
          <w:szCs w:val="20"/>
        </w:rPr>
        <w:t xml:space="preserve">, 102 </w:t>
      </w:r>
      <w:r w:rsidRPr="000B073B">
        <w:rPr>
          <w:rFonts w:asciiTheme="majorBidi" w:hAnsiTheme="majorBidi" w:cstheme="majorBidi"/>
          <w:smallCaps/>
          <w:sz w:val="20"/>
          <w:szCs w:val="20"/>
        </w:rPr>
        <w:t>Cal. L. Rev.</w:t>
      </w:r>
      <w:r w:rsidRPr="000B073B">
        <w:rPr>
          <w:rFonts w:asciiTheme="majorBidi" w:hAnsiTheme="majorBidi" w:cstheme="majorBidi"/>
          <w:sz w:val="20"/>
          <w:szCs w:val="20"/>
        </w:rPr>
        <w:t xml:space="preserve"> 655, 671 (2014) (noting that “[e]</w:t>
      </w:r>
      <w:proofErr w:type="spellStart"/>
      <w:r w:rsidRPr="000B073B">
        <w:rPr>
          <w:rFonts w:asciiTheme="majorBidi" w:hAnsiTheme="majorBidi" w:cstheme="majorBidi"/>
          <w:sz w:val="20"/>
          <w:szCs w:val="20"/>
          <w:lang w:eastAsia="en-CA"/>
        </w:rPr>
        <w:t>ither</w:t>
      </w:r>
      <w:proofErr w:type="spellEnd"/>
      <w:r w:rsidRPr="000B073B">
        <w:rPr>
          <w:rFonts w:asciiTheme="majorBidi" w:hAnsiTheme="majorBidi" w:cstheme="majorBidi"/>
          <w:sz w:val="20"/>
          <w:szCs w:val="20"/>
          <w:lang w:eastAsia="en-CA"/>
        </w:rPr>
        <w:t xml:space="preserve"> each element is satisfied and the offender is liable for punishment under the statute or at least one element is not satisfied and the offender receives no punishment at all”)</w:t>
      </w:r>
      <w:r w:rsidRPr="000B073B">
        <w:rPr>
          <w:rFonts w:asciiTheme="majorBidi" w:hAnsiTheme="majorBidi" w:cstheme="majorBidi"/>
          <w:sz w:val="20"/>
          <w:szCs w:val="20"/>
        </w:rPr>
        <w:t>.</w:t>
      </w:r>
    </w:p>
  </w:footnote>
  <w:footnote w:id="11">
    <w:p w14:paraId="043341B3" w14:textId="77777777" w:rsidR="0095491D" w:rsidRPr="000B073B" w:rsidRDefault="0095491D" w:rsidP="00A137E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 infra</w:t>
      </w:r>
      <w:r w:rsidRPr="000B073B">
        <w:rPr>
          <w:rFonts w:asciiTheme="majorBidi" w:hAnsiTheme="majorBidi" w:cstheme="majorBidi"/>
        </w:rPr>
        <w:t xml:space="preserve"> notes </w:t>
      </w:r>
      <w:r w:rsidRPr="000B073B">
        <w:rPr>
          <w:rFonts w:asciiTheme="majorBidi" w:hAnsiTheme="majorBidi" w:cstheme="majorBidi"/>
        </w:rPr>
        <w:fldChar w:fldCharType="begin"/>
      </w:r>
      <w:r w:rsidRPr="000B073B">
        <w:rPr>
          <w:rFonts w:asciiTheme="majorBidi" w:hAnsiTheme="majorBidi" w:cstheme="majorBidi"/>
        </w:rPr>
        <w:instrText xml:space="preserve"> NOTEREF _Ref428271186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42</w:t>
      </w:r>
      <w:r w:rsidRPr="000B073B">
        <w:rPr>
          <w:rFonts w:asciiTheme="majorBidi" w:hAnsiTheme="majorBidi" w:cstheme="majorBidi"/>
        </w:rPr>
        <w:fldChar w:fldCharType="end"/>
      </w:r>
      <w:r w:rsidRPr="000B073B">
        <w:rPr>
          <w:rFonts w:asciiTheme="majorBidi" w:hAnsiTheme="majorBidi" w:cstheme="majorBidi"/>
        </w:rPr>
        <w:t>-</w:t>
      </w:r>
      <w:r w:rsidRPr="000B073B">
        <w:rPr>
          <w:rFonts w:asciiTheme="majorBidi" w:hAnsiTheme="majorBidi" w:cstheme="majorBidi"/>
        </w:rPr>
        <w:fldChar w:fldCharType="begin"/>
      </w:r>
      <w:r w:rsidRPr="000B073B">
        <w:rPr>
          <w:rFonts w:asciiTheme="majorBidi" w:hAnsiTheme="majorBidi" w:cstheme="majorBidi"/>
        </w:rPr>
        <w:instrText xml:space="preserve"> NOTEREF _Ref432075494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45</w:t>
      </w:r>
      <w:r w:rsidRPr="000B073B">
        <w:rPr>
          <w:rFonts w:asciiTheme="majorBidi" w:hAnsiTheme="majorBidi" w:cstheme="majorBidi"/>
        </w:rPr>
        <w:fldChar w:fldCharType="end"/>
      </w:r>
      <w:r w:rsidRPr="000B073B">
        <w:rPr>
          <w:rFonts w:asciiTheme="majorBidi" w:hAnsiTheme="majorBidi" w:cstheme="majorBidi"/>
        </w:rPr>
        <w:t xml:space="preserve"> and accompanying text.</w:t>
      </w:r>
    </w:p>
  </w:footnote>
  <w:footnote w:id="12">
    <w:p w14:paraId="3D6C1950" w14:textId="698731ED" w:rsidR="0095491D" w:rsidRPr="000B073B" w:rsidRDefault="0095491D" w:rsidP="00CF4DD7">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For several recent examples of this body of </w:t>
      </w:r>
      <w:proofErr w:type="gramStart"/>
      <w:r w:rsidRPr="000B073B">
        <w:rPr>
          <w:rFonts w:asciiTheme="majorBidi" w:hAnsiTheme="majorBidi" w:cstheme="majorBidi"/>
        </w:rPr>
        <w:t>work</w:t>
      </w:r>
      <w:proofErr w:type="gramEnd"/>
      <w:r w:rsidRPr="000B073B">
        <w:rPr>
          <w:rFonts w:asciiTheme="majorBidi" w:hAnsiTheme="majorBidi" w:cstheme="majorBidi"/>
        </w:rPr>
        <w:t xml:space="preserve"> see Richard A. </w:t>
      </w:r>
      <w:proofErr w:type="spellStart"/>
      <w:r w:rsidRPr="000B073B">
        <w:rPr>
          <w:rFonts w:asciiTheme="majorBidi" w:hAnsiTheme="majorBidi" w:cstheme="majorBidi"/>
        </w:rPr>
        <w:t>Bierschbach</w:t>
      </w:r>
      <w:proofErr w:type="spellEnd"/>
      <w:r w:rsidRPr="000B073B">
        <w:rPr>
          <w:rFonts w:asciiTheme="majorBidi" w:hAnsiTheme="majorBidi" w:cstheme="majorBidi"/>
        </w:rPr>
        <w:t xml:space="preserve"> &amp; Alex Stein, </w:t>
      </w:r>
      <w:r w:rsidRPr="000B073B">
        <w:rPr>
          <w:rFonts w:asciiTheme="majorBidi" w:hAnsiTheme="majorBidi" w:cstheme="majorBidi"/>
          <w:i/>
          <w:iCs/>
        </w:rPr>
        <w:t>Mediating Rules in Criminal Law</w:t>
      </w:r>
      <w:r w:rsidRPr="000B073B">
        <w:rPr>
          <w:rFonts w:asciiTheme="majorBidi" w:hAnsiTheme="majorBidi" w:cstheme="majorBidi"/>
        </w:rPr>
        <w:t xml:space="preserve">, 93 </w:t>
      </w:r>
      <w:r w:rsidRPr="000B073B">
        <w:rPr>
          <w:rFonts w:asciiTheme="majorBidi" w:hAnsiTheme="majorBidi" w:cstheme="majorBidi"/>
          <w:smallCaps/>
        </w:rPr>
        <w:t>Va. L. Rev</w:t>
      </w:r>
      <w:r w:rsidRPr="000B073B">
        <w:rPr>
          <w:rFonts w:asciiTheme="majorBidi" w:hAnsiTheme="majorBidi" w:cstheme="majorBidi"/>
        </w:rPr>
        <w:t>. 101 (2007) (analyzing how rules of evidence can mediate different goals of criminal law)</w:t>
      </w:r>
      <w:proofErr w:type="gramStart"/>
      <w:r w:rsidRPr="000B073B">
        <w:rPr>
          <w:rFonts w:asciiTheme="majorBidi" w:hAnsiTheme="majorBidi" w:cstheme="majorBidi"/>
        </w:rPr>
        <w:t>;</w:t>
      </w:r>
      <w:proofErr w:type="gramEnd"/>
      <w:r w:rsidRPr="000B073B">
        <w:rPr>
          <w:rFonts w:asciiTheme="majorBidi" w:hAnsiTheme="majorBidi" w:cstheme="majorBidi"/>
        </w:rPr>
        <w:t xml:space="preserve"> Alex Stein &amp; Gideon </w:t>
      </w:r>
      <w:proofErr w:type="spellStart"/>
      <w:r w:rsidRPr="000B073B">
        <w:rPr>
          <w:rFonts w:asciiTheme="majorBidi" w:hAnsiTheme="majorBidi" w:cstheme="majorBidi"/>
        </w:rPr>
        <w:t>Parchomovsky</w:t>
      </w:r>
      <w:proofErr w:type="spellEnd"/>
      <w:r w:rsidRPr="000B073B">
        <w:rPr>
          <w:rFonts w:asciiTheme="majorBidi" w:hAnsiTheme="majorBidi" w:cstheme="majorBidi"/>
        </w:rPr>
        <w:t xml:space="preserve">, </w:t>
      </w:r>
      <w:r w:rsidRPr="000B073B">
        <w:rPr>
          <w:rFonts w:asciiTheme="majorBidi" w:hAnsiTheme="majorBidi" w:cstheme="majorBidi"/>
          <w:i/>
          <w:iCs/>
        </w:rPr>
        <w:t>The Distortionary Effect of Evidence on Primary Behavior</w:t>
      </w:r>
      <w:r w:rsidRPr="000B073B">
        <w:rPr>
          <w:rFonts w:asciiTheme="majorBidi" w:hAnsiTheme="majorBidi" w:cstheme="majorBidi"/>
        </w:rPr>
        <w:t xml:space="preserve">, 124 </w:t>
      </w:r>
      <w:proofErr w:type="spellStart"/>
      <w:r w:rsidRPr="000B073B">
        <w:rPr>
          <w:rFonts w:asciiTheme="majorBidi" w:hAnsiTheme="majorBidi" w:cstheme="majorBidi"/>
          <w:smallCaps/>
        </w:rPr>
        <w:t>Harv</w:t>
      </w:r>
      <w:proofErr w:type="spellEnd"/>
      <w:r w:rsidRPr="000B073B">
        <w:rPr>
          <w:rFonts w:asciiTheme="majorBidi" w:hAnsiTheme="majorBidi" w:cstheme="majorBidi"/>
          <w:smallCaps/>
        </w:rPr>
        <w:t>. L. Rev</w:t>
      </w:r>
      <w:r w:rsidRPr="000B073B">
        <w:rPr>
          <w:rFonts w:asciiTheme="majorBidi" w:hAnsiTheme="majorBidi" w:cstheme="majorBidi"/>
        </w:rPr>
        <w:t>. 518 (2010) (examining how the need to accumulate evidence influences peoples’ behavior regarding primary behavior)</w:t>
      </w:r>
      <w:proofErr w:type="gramStart"/>
      <w:r w:rsidRPr="000B073B">
        <w:rPr>
          <w:rFonts w:asciiTheme="majorBidi" w:hAnsiTheme="majorBidi" w:cstheme="majorBidi"/>
        </w:rPr>
        <w:t>;</w:t>
      </w:r>
      <w:proofErr w:type="gramEnd"/>
      <w:r w:rsidRPr="000B073B">
        <w:rPr>
          <w:rFonts w:asciiTheme="majorBidi" w:hAnsiTheme="majorBidi" w:cstheme="majorBidi"/>
        </w:rPr>
        <w:t xml:space="preserve"> Ehud Guttel &amp; Doron Teichman, </w:t>
      </w:r>
      <w:r w:rsidRPr="000B073B">
        <w:rPr>
          <w:rFonts w:asciiTheme="majorBidi" w:hAnsiTheme="majorBidi" w:cstheme="majorBidi"/>
          <w:i/>
          <w:iCs/>
        </w:rPr>
        <w:t>Criminal Sanctions in the Defense of the Innocent</w:t>
      </w:r>
      <w:r w:rsidRPr="000B073B">
        <w:rPr>
          <w:rFonts w:asciiTheme="majorBidi" w:hAnsiTheme="majorBidi" w:cstheme="majorBidi"/>
        </w:rPr>
        <w:t xml:space="preserve">, 110 </w:t>
      </w:r>
      <w:r w:rsidRPr="000B073B">
        <w:rPr>
          <w:rStyle w:val="maintitle"/>
          <w:rFonts w:asciiTheme="majorBidi" w:hAnsiTheme="majorBidi" w:cstheme="majorBidi"/>
          <w:smallCaps/>
          <w:color w:val="000000"/>
        </w:rPr>
        <w:t>Mich. L. Rev</w:t>
      </w:r>
      <w:r w:rsidRPr="000B073B">
        <w:rPr>
          <w:rFonts w:asciiTheme="majorBidi" w:hAnsiTheme="majorBidi" w:cstheme="majorBidi"/>
        </w:rPr>
        <w:t xml:space="preserve">. 597 (2012) (highlighting the influence of the burden of proof applied in practice on the design of substantive rules). For an early contribution to this line of thought see John Calvin Jeffries &amp; Paul B. Stephan, </w:t>
      </w:r>
      <w:r w:rsidRPr="000B073B">
        <w:rPr>
          <w:rFonts w:asciiTheme="majorBidi" w:hAnsiTheme="majorBidi" w:cstheme="majorBidi"/>
          <w:i/>
          <w:iCs/>
        </w:rPr>
        <w:t>Defenses, Presumptions, and Burden of Proof in the Criminal Law</w:t>
      </w:r>
      <w:r w:rsidRPr="000B073B">
        <w:rPr>
          <w:rFonts w:asciiTheme="majorBidi" w:hAnsiTheme="majorBidi" w:cstheme="majorBidi"/>
        </w:rPr>
        <w:t xml:space="preserve">, 88 </w:t>
      </w:r>
      <w:r w:rsidRPr="000B073B">
        <w:rPr>
          <w:rFonts w:asciiTheme="majorBidi" w:hAnsiTheme="majorBidi" w:cstheme="majorBidi"/>
          <w:smallCaps/>
        </w:rPr>
        <w:t>Yale L.J</w:t>
      </w:r>
      <w:r w:rsidRPr="000B073B">
        <w:rPr>
          <w:rFonts w:asciiTheme="majorBidi" w:hAnsiTheme="majorBidi" w:cstheme="majorBidi"/>
        </w:rPr>
        <w:t>. 1325 (1979).</w:t>
      </w:r>
    </w:p>
  </w:footnote>
  <w:footnote w:id="13">
    <w:p w14:paraId="7713EF1F" w14:textId="77777777" w:rsidR="0095491D" w:rsidRPr="000B073B" w:rsidRDefault="0095491D" w:rsidP="00371E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Paul Roberts, </w:t>
      </w:r>
      <w:r w:rsidRPr="000B073B">
        <w:rPr>
          <w:rFonts w:asciiTheme="majorBidi" w:hAnsiTheme="majorBidi" w:cstheme="majorBidi"/>
          <w:i/>
          <w:iCs/>
        </w:rPr>
        <w:t>Strict Liability and the Presumption of Innocence: An Exposé of Functionalist Assumptions</w:t>
      </w:r>
      <w:r w:rsidRPr="000B073B">
        <w:rPr>
          <w:rFonts w:asciiTheme="majorBidi" w:hAnsiTheme="majorBidi" w:cstheme="majorBidi"/>
        </w:rPr>
        <w:t xml:space="preserve">, </w:t>
      </w:r>
      <w:r w:rsidRPr="000B073B">
        <w:rPr>
          <w:rFonts w:asciiTheme="majorBidi" w:hAnsiTheme="majorBidi" w:cstheme="majorBidi"/>
          <w:i/>
          <w:iCs/>
        </w:rPr>
        <w:t>in</w:t>
      </w:r>
      <w:r w:rsidRPr="000B073B">
        <w:rPr>
          <w:rFonts w:asciiTheme="majorBidi" w:hAnsiTheme="majorBidi" w:cstheme="majorBidi"/>
        </w:rPr>
        <w:t xml:space="preserve"> </w:t>
      </w:r>
      <w:r w:rsidRPr="000B073B">
        <w:rPr>
          <w:rFonts w:asciiTheme="majorBidi" w:hAnsiTheme="majorBidi" w:cstheme="majorBidi"/>
          <w:smallCaps/>
        </w:rPr>
        <w:t xml:space="preserve">Appraising Strict Liability </w:t>
      </w:r>
      <w:r w:rsidRPr="000B073B">
        <w:rPr>
          <w:rFonts w:asciiTheme="majorBidi" w:hAnsiTheme="majorBidi" w:cstheme="majorBidi"/>
        </w:rPr>
        <w:t xml:space="preserve">151, 154 (A.P. </w:t>
      </w:r>
      <w:proofErr w:type="spellStart"/>
      <w:r w:rsidRPr="000B073B">
        <w:rPr>
          <w:rFonts w:asciiTheme="majorBidi" w:hAnsiTheme="majorBidi" w:cstheme="majorBidi"/>
        </w:rPr>
        <w:t>Simester</w:t>
      </w:r>
      <w:proofErr w:type="spellEnd"/>
      <w:r w:rsidRPr="000B073B">
        <w:rPr>
          <w:rFonts w:asciiTheme="majorBidi" w:hAnsiTheme="majorBidi" w:cstheme="majorBidi"/>
        </w:rPr>
        <w:t xml:space="preserve"> ed., 2005) (noting that “substance and procedure are independent, incommensurable dimensions of penal law that cannot be reduced to interchangeable tokens and traded like currency”).</w:t>
      </w:r>
    </w:p>
  </w:footnote>
  <w:footnote w:id="14">
    <w:p w14:paraId="52C96907"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at 177.</w:t>
      </w:r>
    </w:p>
  </w:footnote>
  <w:footnote w:id="15">
    <w:p w14:paraId="13F3795F" w14:textId="01E53CBB" w:rsidR="009C2795" w:rsidRDefault="009C2795" w:rsidP="009C2795">
      <w:pPr>
        <w:pStyle w:val="FootnoteText"/>
        <w:bidi w:val="0"/>
        <w:jc w:val="both"/>
      </w:pPr>
      <w:r>
        <w:rPr>
          <w:rStyle w:val="FootnoteReference"/>
        </w:rPr>
        <w:footnoteRef/>
      </w:r>
      <w:r>
        <w:rPr>
          <w:rtl/>
        </w:rPr>
        <w:t xml:space="preserve"> </w:t>
      </w:r>
      <w:r>
        <w:t xml:space="preserve"> </w:t>
      </w:r>
      <w:r>
        <w:rPr>
          <w:rFonts w:asciiTheme="majorBidi" w:hAnsiTheme="majorBidi" w:cstheme="majorBidi"/>
        </w:rPr>
        <w:t xml:space="preserve">For notable early expositions of this point see </w:t>
      </w:r>
      <w:r w:rsidRPr="00F44E11">
        <w:rPr>
          <w:rFonts w:asciiTheme="majorBidi" w:hAnsiTheme="majorBidi" w:cstheme="majorBidi"/>
          <w:smallCaps/>
        </w:rPr>
        <w:t>Karl N Llewellyn, The Bramble Bush</w:t>
      </w:r>
      <w:r w:rsidRPr="00F44E11">
        <w:rPr>
          <w:rFonts w:asciiTheme="majorBidi" w:hAnsiTheme="majorBidi" w:cstheme="majorBidi"/>
        </w:rPr>
        <w:t xml:space="preserve"> 82-83 (1930) (“The differentiation between substantive law and adjective law is an illusion”)</w:t>
      </w:r>
      <w:proofErr w:type="gramStart"/>
      <w:r w:rsidRPr="00F44E11">
        <w:rPr>
          <w:rFonts w:asciiTheme="majorBidi" w:hAnsiTheme="majorBidi" w:cstheme="majorBidi"/>
        </w:rPr>
        <w:t>;</w:t>
      </w:r>
      <w:proofErr w:type="gramEnd"/>
      <w:r w:rsidRPr="00F44E11">
        <w:rPr>
          <w:rFonts w:asciiTheme="majorBidi" w:hAnsiTheme="majorBidi" w:cstheme="majorBidi"/>
        </w:rPr>
        <w:t xml:space="preserve"> I </w:t>
      </w:r>
      <w:proofErr w:type="spellStart"/>
      <w:r w:rsidRPr="00F44E11">
        <w:rPr>
          <w:rFonts w:asciiTheme="majorBidi" w:hAnsiTheme="majorBidi" w:cstheme="majorBidi"/>
          <w:smallCaps/>
        </w:rPr>
        <w:t>Chamberlayne</w:t>
      </w:r>
      <w:proofErr w:type="spellEnd"/>
      <w:r w:rsidRPr="00F44E11">
        <w:rPr>
          <w:rFonts w:asciiTheme="majorBidi" w:hAnsiTheme="majorBidi" w:cstheme="majorBidi"/>
          <w:smallCaps/>
        </w:rPr>
        <w:t>, Evidence</w:t>
      </w:r>
      <w:r>
        <w:rPr>
          <w:rFonts w:asciiTheme="majorBidi" w:hAnsiTheme="majorBidi" w:cstheme="majorBidi"/>
        </w:rPr>
        <w:t xml:space="preserve"> </w:t>
      </w:r>
      <w:r w:rsidRPr="00F44E11">
        <w:rPr>
          <w:rFonts w:asciiTheme="majorBidi" w:hAnsiTheme="majorBidi" w:cstheme="majorBidi"/>
        </w:rPr>
        <w:t xml:space="preserve">§171 (1911). (“The distinction between substantive and procedural law </w:t>
      </w:r>
      <w:r>
        <w:rPr>
          <w:rFonts w:asciiTheme="majorBidi" w:hAnsiTheme="majorBidi" w:cstheme="majorBidi"/>
        </w:rPr>
        <w:t>is arti</w:t>
      </w:r>
      <w:r w:rsidRPr="00F44E11">
        <w:rPr>
          <w:rFonts w:asciiTheme="majorBidi" w:hAnsiTheme="majorBidi" w:cstheme="majorBidi"/>
        </w:rPr>
        <w:t>ficial and illusory”)</w:t>
      </w:r>
      <w:r>
        <w:rPr>
          <w:rFonts w:asciiTheme="majorBidi" w:hAnsiTheme="majorBidi" w:cstheme="majorBidi"/>
        </w:rPr>
        <w:t>.</w:t>
      </w:r>
    </w:p>
  </w:footnote>
  <w:footnote w:id="16">
    <w:p w14:paraId="13CF199F" w14:textId="77777777" w:rsidR="0095491D" w:rsidRPr="000B073B" w:rsidRDefault="0095491D" w:rsidP="00573132">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Casebooks often deal with these questions in their introductory chapters. </w:t>
      </w:r>
      <w:r w:rsidRPr="000B073B">
        <w:rPr>
          <w:rFonts w:asciiTheme="majorBidi" w:hAnsiTheme="majorBidi" w:cstheme="majorBidi"/>
          <w:i/>
          <w:iCs/>
        </w:rPr>
        <w:t>See, e.g</w:t>
      </w:r>
      <w:r w:rsidRPr="000B073B">
        <w:rPr>
          <w:rFonts w:asciiTheme="majorBidi" w:hAnsiTheme="majorBidi" w:cstheme="majorBidi"/>
        </w:rPr>
        <w:t xml:space="preserve">., </w:t>
      </w:r>
      <w:proofErr w:type="spellStart"/>
      <w:r w:rsidRPr="000B073B">
        <w:rPr>
          <w:rFonts w:asciiTheme="majorBidi" w:hAnsiTheme="majorBidi" w:cstheme="majorBidi"/>
          <w:smallCaps/>
        </w:rPr>
        <w:t>Kadish</w:t>
      </w:r>
      <w:proofErr w:type="spellEnd"/>
      <w:r w:rsidRPr="000B073B">
        <w:rPr>
          <w:rFonts w:asciiTheme="majorBidi" w:hAnsiTheme="majorBidi" w:cstheme="majorBidi"/>
          <w:smallCaps/>
        </w:rPr>
        <w:t xml:space="preserve"> et al.</w:t>
      </w:r>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_Ref431896586 \h  \* MERGEFORMAT </w:instrText>
      </w:r>
      <w:r w:rsidRPr="000B073B">
        <w:rPr>
          <w:rFonts w:asciiTheme="majorBidi" w:hAnsiTheme="majorBidi" w:cstheme="majorBidi"/>
        </w:rPr>
      </w:r>
      <w:r w:rsidRPr="000B073B">
        <w:rPr>
          <w:rFonts w:asciiTheme="majorBidi" w:hAnsiTheme="majorBidi" w:cstheme="majorBidi"/>
        </w:rPr>
        <w:fldChar w:fldCharType="separate"/>
      </w:r>
      <w:proofErr w:type="gramStart"/>
      <w:r w:rsidRPr="000B073B">
        <w:rPr>
          <w:rFonts w:asciiTheme="majorBidi" w:hAnsiTheme="majorBidi" w:cstheme="majorBidi"/>
        </w:rPr>
        <w:t>6</w:t>
      </w:r>
      <w:proofErr w:type="gramEnd"/>
      <w:r w:rsidRPr="000B073B">
        <w:rPr>
          <w:rFonts w:asciiTheme="majorBidi" w:hAnsiTheme="majorBidi" w:cstheme="majorBidi"/>
        </w:rPr>
        <w:fldChar w:fldCharType="end"/>
      </w:r>
      <w:r w:rsidRPr="000B073B">
        <w:rPr>
          <w:rFonts w:asciiTheme="majorBidi" w:hAnsiTheme="majorBidi" w:cstheme="majorBidi"/>
        </w:rPr>
        <w:t xml:space="preserve">, at 89-142; </w:t>
      </w:r>
      <w:r w:rsidRPr="000B073B">
        <w:rPr>
          <w:rFonts w:asciiTheme="majorBidi" w:hAnsiTheme="majorBidi" w:cstheme="majorBidi"/>
          <w:smallCaps/>
        </w:rPr>
        <w:t>Johnathan Herring, Criminal Law: Text, Cases, and Materials</w:t>
      </w:r>
      <w:r w:rsidRPr="000B073B">
        <w:rPr>
          <w:rFonts w:asciiTheme="majorBidi" w:hAnsiTheme="majorBidi" w:cstheme="majorBidi"/>
        </w:rPr>
        <w:t xml:space="preserve"> 8-61 (6th ed., 2014); </w:t>
      </w:r>
      <w:r w:rsidRPr="000B073B">
        <w:rPr>
          <w:rFonts w:asciiTheme="majorBidi" w:hAnsiTheme="majorBidi" w:cstheme="majorBidi"/>
          <w:smallCaps/>
        </w:rPr>
        <w:t>Paul H. Robinson, Criminal Law: Case Studies &amp; Controversies</w:t>
      </w:r>
      <w:r w:rsidRPr="000B073B">
        <w:rPr>
          <w:rFonts w:asciiTheme="majorBidi" w:hAnsiTheme="majorBidi" w:cstheme="majorBidi"/>
        </w:rPr>
        <w:t xml:space="preserve"> 73-127 (2005). </w:t>
      </w:r>
    </w:p>
  </w:footnote>
  <w:footnote w:id="17">
    <w:p w14:paraId="0B16A7B4" w14:textId="77777777" w:rsidR="0095491D" w:rsidRPr="000B073B" w:rsidRDefault="0095491D" w:rsidP="00F67AD0">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Pr>
        <w:t xml:space="preserve"> </w:t>
      </w:r>
      <w:r w:rsidRPr="000B073B">
        <w:rPr>
          <w:rFonts w:asciiTheme="majorBidi" w:hAnsiTheme="majorBidi" w:cstheme="majorBidi"/>
          <w:i/>
          <w:iCs/>
          <w:sz w:val="20"/>
          <w:szCs w:val="20"/>
        </w:rPr>
        <w:t>See, e.g.</w:t>
      </w:r>
      <w:r w:rsidRPr="000B073B">
        <w:rPr>
          <w:rFonts w:asciiTheme="majorBidi" w:hAnsiTheme="majorBidi" w:cstheme="majorBidi"/>
          <w:sz w:val="20"/>
          <w:szCs w:val="20"/>
        </w:rPr>
        <w:t xml:space="preserve">, </w:t>
      </w:r>
      <w:r w:rsidRPr="000B073B">
        <w:rPr>
          <w:rFonts w:asciiTheme="majorBidi" w:hAnsiTheme="majorBidi" w:cstheme="majorBidi"/>
          <w:smallCaps/>
          <w:sz w:val="20"/>
          <w:szCs w:val="20"/>
        </w:rPr>
        <w:t>Paul H. Robinson, Distributive Principles of Criminal Law: Who Should be Punished How Much?</w:t>
      </w:r>
      <w:r w:rsidRPr="000B073B">
        <w:rPr>
          <w:rFonts w:asciiTheme="majorBidi" w:hAnsiTheme="majorBidi" w:cstheme="majorBidi"/>
          <w:sz w:val="20"/>
          <w:szCs w:val="20"/>
        </w:rPr>
        <w:t xml:space="preserve"> </w:t>
      </w:r>
      <w:proofErr w:type="gramStart"/>
      <w:r w:rsidRPr="000B073B">
        <w:rPr>
          <w:rFonts w:asciiTheme="majorBidi" w:hAnsiTheme="majorBidi" w:cstheme="majorBidi"/>
          <w:sz w:val="20"/>
          <w:szCs w:val="20"/>
        </w:rPr>
        <w:t>7</w:t>
      </w:r>
      <w:proofErr w:type="gramEnd"/>
      <w:r w:rsidRPr="000B073B">
        <w:rPr>
          <w:rFonts w:asciiTheme="majorBidi" w:hAnsiTheme="majorBidi" w:cstheme="majorBidi"/>
          <w:sz w:val="20"/>
          <w:szCs w:val="20"/>
        </w:rPr>
        <w:t xml:space="preserve"> (2008) (noting that “[e]ach of the justifications for punishment, or ‘purposes’ as they are often called, might be used as a distributive principle for criminal liability and punishment”). </w:t>
      </w:r>
      <w:proofErr w:type="gramStart"/>
      <w:r w:rsidRPr="000B073B">
        <w:rPr>
          <w:rFonts w:asciiTheme="majorBidi" w:hAnsiTheme="majorBidi" w:cstheme="majorBidi"/>
          <w:i/>
          <w:iCs/>
          <w:sz w:val="20"/>
          <w:szCs w:val="20"/>
        </w:rPr>
        <w:t>But</w:t>
      </w:r>
      <w:proofErr w:type="gramEnd"/>
      <w:r w:rsidRPr="000B073B">
        <w:rPr>
          <w:rFonts w:asciiTheme="majorBidi" w:hAnsiTheme="majorBidi" w:cstheme="majorBidi"/>
          <w:i/>
          <w:iCs/>
          <w:sz w:val="20"/>
          <w:szCs w:val="20"/>
        </w:rPr>
        <w:t xml:space="preserve"> see</w:t>
      </w:r>
      <w:r w:rsidRPr="000B073B">
        <w:rPr>
          <w:rFonts w:asciiTheme="majorBidi" w:hAnsiTheme="majorBidi" w:cstheme="majorBidi"/>
          <w:sz w:val="20"/>
          <w:szCs w:val="20"/>
        </w:rPr>
        <w:t xml:space="preserve"> </w:t>
      </w:r>
      <w:r w:rsidRPr="000B073B">
        <w:rPr>
          <w:rFonts w:asciiTheme="majorBidi" w:hAnsiTheme="majorBidi" w:cstheme="majorBidi"/>
          <w:smallCaps/>
          <w:sz w:val="20"/>
          <w:szCs w:val="20"/>
        </w:rPr>
        <w:t>H.L.A. Hart, Punishment and Responsibility</w:t>
      </w:r>
      <w:r w:rsidRPr="000B073B">
        <w:rPr>
          <w:rFonts w:asciiTheme="majorBidi" w:hAnsiTheme="majorBidi" w:cstheme="majorBidi"/>
          <w:sz w:val="20"/>
          <w:szCs w:val="20"/>
        </w:rPr>
        <w:t xml:space="preserve"> 1-27 (1968) (drawing a distinction between the principles governing justifying and distributing punishment).</w:t>
      </w:r>
    </w:p>
  </w:footnote>
  <w:footnote w:id="18">
    <w:p w14:paraId="7F2C6E0B" w14:textId="77777777" w:rsidR="0095491D" w:rsidRPr="000B073B" w:rsidRDefault="0095491D" w:rsidP="00964CA8">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i/>
          <w:iCs/>
          <w:sz w:val="20"/>
          <w:szCs w:val="20"/>
        </w:rPr>
        <w:t xml:space="preserve">See </w:t>
      </w:r>
      <w:r w:rsidRPr="000B073B">
        <w:rPr>
          <w:rFonts w:asciiTheme="majorBidi" w:hAnsiTheme="majorBidi" w:cstheme="majorBidi"/>
          <w:smallCaps/>
          <w:sz w:val="20"/>
          <w:szCs w:val="20"/>
        </w:rPr>
        <w:t>Robinson,</w:t>
      </w:r>
      <w:r w:rsidRPr="000B073B">
        <w:rPr>
          <w:rFonts w:asciiTheme="majorBidi" w:hAnsiTheme="majorBidi" w:cstheme="majorBidi"/>
          <w:i/>
          <w:iCs/>
          <w:sz w:val="20"/>
          <w:szCs w:val="20"/>
        </w:rPr>
        <w:t xml:space="preserve"> supra </w:t>
      </w:r>
      <w:r w:rsidRPr="000B073B">
        <w:rPr>
          <w:rFonts w:asciiTheme="majorBidi" w:hAnsiTheme="majorBidi" w:cstheme="majorBidi"/>
          <w:sz w:val="20"/>
          <w:szCs w:val="20"/>
        </w:rPr>
        <w:t>note 14, at 14 (noting that “[m]</w:t>
      </w:r>
      <w:proofErr w:type="spellStart"/>
      <w:r w:rsidRPr="000B073B">
        <w:rPr>
          <w:rFonts w:asciiTheme="majorBidi" w:hAnsiTheme="majorBidi" w:cstheme="majorBidi"/>
          <w:sz w:val="20"/>
          <w:szCs w:val="20"/>
        </w:rPr>
        <w:t>ost</w:t>
      </w:r>
      <w:proofErr w:type="spellEnd"/>
      <w:r w:rsidRPr="000B073B">
        <w:rPr>
          <w:rFonts w:asciiTheme="majorBidi" w:hAnsiTheme="majorBidi" w:cstheme="majorBidi"/>
          <w:sz w:val="20"/>
          <w:szCs w:val="20"/>
        </w:rPr>
        <w:t xml:space="preserve"> criminal codes, and most criminal law courses, begin with the ‘familiar litany’ of the traditional alternative distributive principles”). </w:t>
      </w:r>
    </w:p>
  </w:footnote>
  <w:footnote w:id="19">
    <w:p w14:paraId="66868B0A"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 id</w:t>
      </w:r>
      <w:r w:rsidRPr="000B073B">
        <w:rPr>
          <w:rFonts w:asciiTheme="majorBidi" w:hAnsiTheme="majorBidi" w:cstheme="majorBidi"/>
        </w:rPr>
        <w:t xml:space="preserve">. </w:t>
      </w:r>
      <w:proofErr w:type="gramStart"/>
      <w:r w:rsidRPr="000B073B">
        <w:rPr>
          <w:rFonts w:asciiTheme="majorBidi" w:hAnsiTheme="majorBidi" w:cstheme="majorBidi"/>
        </w:rPr>
        <w:t>at</w:t>
      </w:r>
      <w:proofErr w:type="gramEnd"/>
      <w:r w:rsidRPr="000B073B">
        <w:rPr>
          <w:rFonts w:asciiTheme="majorBidi" w:hAnsiTheme="majorBidi" w:cstheme="majorBidi"/>
        </w:rPr>
        <w:t xml:space="preserve"> 7-10 (reviewing different consequentialist principles). </w:t>
      </w:r>
    </w:p>
  </w:footnote>
  <w:footnote w:id="20">
    <w:p w14:paraId="5290DFF7"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For an early contribution to this </w:t>
      </w:r>
      <w:proofErr w:type="gramStart"/>
      <w:r w:rsidRPr="000B073B">
        <w:rPr>
          <w:rFonts w:asciiTheme="majorBidi" w:hAnsiTheme="majorBidi" w:cstheme="majorBidi"/>
        </w:rPr>
        <w:t>literature</w:t>
      </w:r>
      <w:proofErr w:type="gramEnd"/>
      <w:r w:rsidRPr="000B073B">
        <w:rPr>
          <w:rFonts w:asciiTheme="majorBidi" w:hAnsiTheme="majorBidi" w:cstheme="majorBidi"/>
        </w:rPr>
        <w:t xml:space="preserve"> see Gary S. Becker, </w:t>
      </w:r>
      <w:r w:rsidRPr="000B073B">
        <w:rPr>
          <w:rFonts w:asciiTheme="majorBidi" w:hAnsiTheme="majorBidi" w:cstheme="majorBidi"/>
          <w:i/>
        </w:rPr>
        <w:t>Crime and Punishment: An Economic Approach</w:t>
      </w:r>
      <w:r w:rsidRPr="000B073B">
        <w:rPr>
          <w:rFonts w:asciiTheme="majorBidi" w:hAnsiTheme="majorBidi" w:cstheme="majorBidi"/>
        </w:rPr>
        <w:t xml:space="preserve">, 76 </w:t>
      </w:r>
      <w:r w:rsidRPr="000B073B">
        <w:rPr>
          <w:rFonts w:asciiTheme="majorBidi" w:hAnsiTheme="majorBidi" w:cstheme="majorBidi"/>
          <w:smallCaps/>
          <w:lang w:val="en-GB"/>
        </w:rPr>
        <w:t>J. Pol. Econ</w:t>
      </w:r>
      <w:r w:rsidRPr="000B073B">
        <w:rPr>
          <w:rFonts w:asciiTheme="majorBidi" w:hAnsiTheme="majorBidi" w:cstheme="majorBidi"/>
        </w:rPr>
        <w:t xml:space="preserve">. 169, 176-79 (1968) (presenting an analysis of the supply of criminal offenses given the probability of conviction, length of punishment, and other variables). For later </w:t>
      </w:r>
      <w:proofErr w:type="gramStart"/>
      <w:r w:rsidRPr="000B073B">
        <w:rPr>
          <w:rFonts w:asciiTheme="majorBidi" w:hAnsiTheme="majorBidi" w:cstheme="majorBidi"/>
        </w:rPr>
        <w:t>review</w:t>
      </w:r>
      <w:proofErr w:type="gramEnd"/>
      <w:r w:rsidRPr="000B073B">
        <w:rPr>
          <w:rFonts w:asciiTheme="majorBidi" w:hAnsiTheme="majorBidi" w:cstheme="majorBidi"/>
        </w:rPr>
        <w:t xml:space="preserve"> see </w:t>
      </w:r>
      <w:r w:rsidRPr="000B073B">
        <w:rPr>
          <w:rFonts w:asciiTheme="majorBidi" w:hAnsiTheme="majorBidi" w:cstheme="majorBidi"/>
          <w:smallCaps/>
        </w:rPr>
        <w:t>Steven Shavell, Foundations of Economic Analysis of Law</w:t>
      </w:r>
      <w:r w:rsidRPr="000B073B">
        <w:rPr>
          <w:rFonts w:asciiTheme="majorBidi" w:hAnsiTheme="majorBidi" w:cstheme="majorBidi"/>
        </w:rPr>
        <w:t xml:space="preserve"> 473-514 (2004).</w:t>
      </w:r>
    </w:p>
  </w:footnote>
  <w:footnote w:id="21">
    <w:p w14:paraId="1AECDEB3" w14:textId="77777777" w:rsidR="0095491D" w:rsidRPr="000B073B" w:rsidRDefault="0095491D" w:rsidP="00B50883">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For a review of the </w:t>
      </w:r>
      <w:proofErr w:type="gramStart"/>
      <w:r w:rsidRPr="000B073B">
        <w:rPr>
          <w:rFonts w:asciiTheme="majorBidi" w:hAnsiTheme="majorBidi" w:cstheme="majorBidi"/>
        </w:rPr>
        <w:t>rehabilitation</w:t>
      </w:r>
      <w:proofErr w:type="gramEnd"/>
      <w:r w:rsidRPr="000B073B">
        <w:rPr>
          <w:rFonts w:asciiTheme="majorBidi" w:hAnsiTheme="majorBidi" w:cstheme="majorBidi"/>
        </w:rPr>
        <w:t xml:space="preserve"> literature see Francis T. Cullen &amp; Paul </w:t>
      </w:r>
      <w:proofErr w:type="spellStart"/>
      <w:r w:rsidRPr="000B073B">
        <w:rPr>
          <w:rFonts w:asciiTheme="majorBidi" w:hAnsiTheme="majorBidi" w:cstheme="majorBidi"/>
        </w:rPr>
        <w:t>Gendreau</w:t>
      </w:r>
      <w:proofErr w:type="spellEnd"/>
      <w:r w:rsidRPr="000B073B">
        <w:rPr>
          <w:rFonts w:asciiTheme="majorBidi" w:hAnsiTheme="majorBidi" w:cstheme="majorBidi"/>
        </w:rPr>
        <w:t xml:space="preserve">, </w:t>
      </w:r>
      <w:r w:rsidRPr="000B073B">
        <w:rPr>
          <w:rFonts w:asciiTheme="majorBidi" w:hAnsiTheme="majorBidi" w:cstheme="majorBidi"/>
          <w:i/>
          <w:iCs/>
        </w:rPr>
        <w:t>Assessing Correctional Rehabilitation: Policy, Practice and Prospects</w:t>
      </w:r>
      <w:r w:rsidRPr="000B073B">
        <w:rPr>
          <w:rFonts w:asciiTheme="majorBidi" w:hAnsiTheme="majorBidi" w:cstheme="majorBidi"/>
        </w:rPr>
        <w:t xml:space="preserve">, </w:t>
      </w:r>
      <w:r w:rsidRPr="000B073B">
        <w:rPr>
          <w:rFonts w:asciiTheme="majorBidi" w:hAnsiTheme="majorBidi" w:cstheme="majorBidi"/>
          <w:smallCaps/>
        </w:rPr>
        <w:t xml:space="preserve">3 Crim. Just. </w:t>
      </w:r>
      <w:proofErr w:type="gramStart"/>
      <w:r w:rsidRPr="000B073B">
        <w:rPr>
          <w:rFonts w:asciiTheme="majorBidi" w:hAnsiTheme="majorBidi" w:cstheme="majorBidi"/>
          <w:smallCaps/>
        </w:rPr>
        <w:t>109</w:t>
      </w:r>
      <w:proofErr w:type="gramEnd"/>
      <w:r w:rsidRPr="000B073B">
        <w:rPr>
          <w:rFonts w:asciiTheme="majorBidi" w:hAnsiTheme="majorBidi" w:cstheme="majorBidi"/>
          <w:smallCaps/>
        </w:rPr>
        <w:t xml:space="preserve"> (2000)</w:t>
      </w:r>
      <w:r w:rsidRPr="000B073B">
        <w:rPr>
          <w:rFonts w:asciiTheme="majorBidi" w:hAnsiTheme="majorBidi" w:cstheme="majorBidi"/>
        </w:rPr>
        <w:t>.</w:t>
      </w:r>
      <w:r w:rsidRPr="000B073B">
        <w:rPr>
          <w:rFonts w:asciiTheme="majorBidi" w:hAnsiTheme="majorBidi" w:cstheme="majorBidi"/>
          <w:i/>
          <w:iCs/>
        </w:rPr>
        <w:t xml:space="preserve"> </w:t>
      </w:r>
    </w:p>
  </w:footnote>
  <w:footnote w:id="22">
    <w:p w14:paraId="0C2835F3" w14:textId="77777777" w:rsidR="0095491D" w:rsidRPr="000B073B" w:rsidRDefault="0095491D" w:rsidP="00D6095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xml:space="preserve"> </w:t>
      </w:r>
      <w:r w:rsidRPr="000B073B">
        <w:rPr>
          <w:rFonts w:asciiTheme="majorBidi" w:hAnsiTheme="majorBidi" w:cstheme="majorBidi"/>
          <w:i/>
          <w:iCs/>
        </w:rPr>
        <w:t xml:space="preserve"> </w:t>
      </w:r>
      <w:proofErr w:type="gramStart"/>
      <w:r w:rsidRPr="000B073B">
        <w:rPr>
          <w:rFonts w:asciiTheme="majorBidi" w:hAnsiTheme="majorBidi" w:cstheme="majorBidi"/>
        </w:rPr>
        <w:t>at</w:t>
      </w:r>
      <w:proofErr w:type="gramEnd"/>
      <w:r w:rsidRPr="000B073B">
        <w:rPr>
          <w:rFonts w:asciiTheme="majorBidi" w:hAnsiTheme="majorBidi" w:cstheme="majorBidi"/>
        </w:rPr>
        <w:t xml:space="preserve"> 137-43.</w:t>
      </w:r>
    </w:p>
  </w:footnote>
  <w:footnote w:id="23">
    <w:p w14:paraId="7DAA523D" w14:textId="77777777" w:rsidR="0095491D" w:rsidRPr="000B073B" w:rsidRDefault="0095491D" w:rsidP="009E3DB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 e.g.</w:t>
      </w:r>
      <w:r w:rsidRPr="000B073B">
        <w:rPr>
          <w:rFonts w:asciiTheme="majorBidi" w:hAnsiTheme="majorBidi" w:cstheme="majorBidi"/>
        </w:rPr>
        <w:t xml:space="preserve">, Steven S. Shavell, </w:t>
      </w:r>
      <w:r w:rsidRPr="000B073B">
        <w:rPr>
          <w:rFonts w:asciiTheme="majorBidi" w:hAnsiTheme="majorBidi" w:cstheme="majorBidi"/>
          <w:i/>
          <w:iCs/>
        </w:rPr>
        <w:t>A Model of Optimal Incapacitation</w:t>
      </w:r>
      <w:r w:rsidRPr="000B073B">
        <w:rPr>
          <w:rFonts w:asciiTheme="majorBidi" w:hAnsiTheme="majorBidi" w:cstheme="majorBidi"/>
        </w:rPr>
        <w:t xml:space="preserve">, 77 </w:t>
      </w:r>
      <w:r w:rsidRPr="000B073B">
        <w:rPr>
          <w:rFonts w:asciiTheme="majorBidi" w:hAnsiTheme="majorBidi" w:cstheme="majorBidi"/>
          <w:smallCaps/>
        </w:rPr>
        <w:t>Am. Econ. Rev. (Papers and Proc.)</w:t>
      </w:r>
      <w:r w:rsidRPr="000B073B">
        <w:rPr>
          <w:rFonts w:asciiTheme="majorBidi" w:hAnsiTheme="majorBidi" w:cstheme="majorBidi"/>
        </w:rPr>
        <w:t xml:space="preserve"> 107 (1987).</w:t>
      </w:r>
    </w:p>
  </w:footnote>
  <w:footnote w:id="24">
    <w:p w14:paraId="0A21D963" w14:textId="77777777" w:rsidR="0095491D" w:rsidRPr="000B073B" w:rsidRDefault="0095491D" w:rsidP="00573132">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at 107-08.</w:t>
      </w:r>
    </w:p>
  </w:footnote>
  <w:footnote w:id="25">
    <w:p w14:paraId="4F9D5BBE" w14:textId="77777777" w:rsidR="0095491D" w:rsidRPr="000B073B" w:rsidRDefault="0095491D" w:rsidP="009E3DB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w:t>
      </w:r>
      <w:proofErr w:type="gramStart"/>
      <w:r w:rsidRPr="000B073B">
        <w:rPr>
          <w:rFonts w:asciiTheme="majorBidi" w:hAnsiTheme="majorBidi" w:cstheme="majorBidi"/>
          <w:smallCaps/>
        </w:rPr>
        <w:t>Robinson</w:t>
      </w:r>
      <w:r w:rsidRPr="000B073B">
        <w:rPr>
          <w:rFonts w:asciiTheme="majorBidi" w:hAnsiTheme="majorBidi" w:cstheme="majorBidi"/>
        </w:rPr>
        <w:t>,</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14, at 9, 13-14 (highlighting the role of deontological desert).</w:t>
      </w:r>
    </w:p>
  </w:footnote>
  <w:footnote w:id="26">
    <w:p w14:paraId="62D56B60" w14:textId="77777777" w:rsidR="0095491D" w:rsidRPr="000B073B" w:rsidRDefault="0095491D" w:rsidP="002977F8">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For a key contribution to this </w:t>
      </w:r>
      <w:proofErr w:type="gramStart"/>
      <w:r w:rsidRPr="000B073B">
        <w:rPr>
          <w:rFonts w:asciiTheme="majorBidi" w:hAnsiTheme="majorBidi" w:cstheme="majorBidi"/>
        </w:rPr>
        <w:t>literature</w:t>
      </w:r>
      <w:proofErr w:type="gramEnd"/>
      <w:r w:rsidRPr="000B073B">
        <w:rPr>
          <w:rFonts w:asciiTheme="majorBidi" w:hAnsiTheme="majorBidi" w:cstheme="majorBidi"/>
        </w:rPr>
        <w:t xml:space="preserve"> see Michael S. Moore, </w:t>
      </w:r>
      <w:r w:rsidRPr="000B073B">
        <w:rPr>
          <w:rFonts w:asciiTheme="majorBidi" w:hAnsiTheme="majorBidi" w:cstheme="majorBidi"/>
          <w:i/>
          <w:iCs/>
        </w:rPr>
        <w:t>The Moral Worth of Retribution</w:t>
      </w:r>
      <w:r w:rsidRPr="000B073B">
        <w:rPr>
          <w:rFonts w:asciiTheme="majorBidi" w:hAnsiTheme="majorBidi" w:cstheme="majorBidi"/>
        </w:rPr>
        <w:t xml:space="preserve">, </w:t>
      </w:r>
      <w:r w:rsidRPr="000B073B">
        <w:rPr>
          <w:rFonts w:asciiTheme="majorBidi" w:hAnsiTheme="majorBidi" w:cstheme="majorBidi"/>
          <w:i/>
          <w:iCs/>
        </w:rPr>
        <w:t>in</w:t>
      </w:r>
      <w:r w:rsidRPr="000B073B">
        <w:rPr>
          <w:rFonts w:asciiTheme="majorBidi" w:hAnsiTheme="majorBidi" w:cstheme="majorBidi"/>
        </w:rPr>
        <w:t xml:space="preserve"> </w:t>
      </w:r>
      <w:r w:rsidRPr="000B073B">
        <w:rPr>
          <w:rFonts w:asciiTheme="majorBidi" w:hAnsiTheme="majorBidi" w:cstheme="majorBidi"/>
          <w:smallCaps/>
        </w:rPr>
        <w:t>Responsibility Character and Emotions</w:t>
      </w:r>
      <w:r w:rsidRPr="000B073B">
        <w:rPr>
          <w:rFonts w:asciiTheme="majorBidi" w:hAnsiTheme="majorBidi" w:cstheme="majorBidi"/>
        </w:rPr>
        <w:t xml:space="preserve"> 179 (F. </w:t>
      </w:r>
      <w:proofErr w:type="spellStart"/>
      <w:r w:rsidRPr="000B073B">
        <w:rPr>
          <w:rFonts w:asciiTheme="majorBidi" w:hAnsiTheme="majorBidi" w:cstheme="majorBidi"/>
        </w:rPr>
        <w:t>Schoeman</w:t>
      </w:r>
      <w:proofErr w:type="spellEnd"/>
      <w:r w:rsidRPr="000B073B">
        <w:rPr>
          <w:rFonts w:asciiTheme="majorBidi" w:hAnsiTheme="majorBidi" w:cstheme="majorBidi"/>
        </w:rPr>
        <w:t xml:space="preserve"> ed., 1988). For a review of retributive </w:t>
      </w:r>
      <w:proofErr w:type="gramStart"/>
      <w:r w:rsidRPr="000B073B">
        <w:rPr>
          <w:rFonts w:asciiTheme="majorBidi" w:hAnsiTheme="majorBidi" w:cstheme="majorBidi"/>
        </w:rPr>
        <w:t>theories</w:t>
      </w:r>
      <w:proofErr w:type="gramEnd"/>
      <w:r w:rsidRPr="000B073B">
        <w:rPr>
          <w:rFonts w:asciiTheme="majorBidi" w:hAnsiTheme="majorBidi" w:cstheme="majorBidi"/>
        </w:rPr>
        <w:t xml:space="preserve"> see Gerard V. Bradley, </w:t>
      </w:r>
      <w:r w:rsidRPr="000B073B">
        <w:rPr>
          <w:rFonts w:asciiTheme="majorBidi" w:hAnsiTheme="majorBidi" w:cstheme="majorBidi"/>
          <w:i/>
          <w:iCs/>
        </w:rPr>
        <w:t>Retribution: The Central Aim of Punishment</w:t>
      </w:r>
      <w:r w:rsidRPr="000B073B">
        <w:rPr>
          <w:rFonts w:asciiTheme="majorBidi" w:hAnsiTheme="majorBidi" w:cstheme="majorBidi"/>
        </w:rPr>
        <w:t xml:space="preserve">, 27 </w:t>
      </w:r>
      <w:proofErr w:type="spellStart"/>
      <w:r w:rsidRPr="000B073B">
        <w:rPr>
          <w:rFonts w:asciiTheme="majorBidi" w:hAnsiTheme="majorBidi" w:cstheme="majorBidi"/>
          <w:smallCaps/>
        </w:rPr>
        <w:t>Harv</w:t>
      </w:r>
      <w:proofErr w:type="spellEnd"/>
      <w:r w:rsidRPr="000B073B">
        <w:rPr>
          <w:rFonts w:asciiTheme="majorBidi" w:hAnsiTheme="majorBidi" w:cstheme="majorBidi"/>
          <w:smallCaps/>
        </w:rPr>
        <w:t xml:space="preserve">. J.L. &amp; Pub. </w:t>
      </w:r>
      <w:proofErr w:type="spellStart"/>
      <w:r w:rsidRPr="000B073B">
        <w:rPr>
          <w:rFonts w:asciiTheme="majorBidi" w:hAnsiTheme="majorBidi" w:cstheme="majorBidi"/>
          <w:smallCaps/>
        </w:rPr>
        <w:t>Pol'y</w:t>
      </w:r>
      <w:proofErr w:type="spellEnd"/>
      <w:r w:rsidRPr="000B073B">
        <w:rPr>
          <w:rFonts w:asciiTheme="majorBidi" w:hAnsiTheme="majorBidi" w:cstheme="majorBidi"/>
        </w:rPr>
        <w:t xml:space="preserve"> 19 (2003). </w:t>
      </w:r>
    </w:p>
  </w:footnote>
  <w:footnote w:id="27">
    <w:p w14:paraId="30853C89"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color w:val="000000"/>
        </w:rPr>
        <w:t xml:space="preserve">Andrew von Hirsch, </w:t>
      </w:r>
      <w:r w:rsidRPr="000B073B">
        <w:rPr>
          <w:rFonts w:asciiTheme="majorBidi" w:hAnsiTheme="majorBidi" w:cstheme="majorBidi"/>
          <w:i/>
          <w:iCs/>
          <w:color w:val="000000"/>
        </w:rPr>
        <w:t>Proportionality in the Philosophy of Punishment</w:t>
      </w:r>
      <w:r w:rsidRPr="000B073B">
        <w:rPr>
          <w:rFonts w:asciiTheme="majorBidi" w:hAnsiTheme="majorBidi" w:cstheme="majorBidi"/>
          <w:color w:val="000000"/>
        </w:rPr>
        <w:t xml:space="preserve">, 16 </w:t>
      </w:r>
      <w:r w:rsidRPr="000B073B">
        <w:rPr>
          <w:rFonts w:asciiTheme="majorBidi" w:hAnsiTheme="majorBidi" w:cstheme="majorBidi"/>
          <w:smallCaps/>
        </w:rPr>
        <w:t>Crime &amp; Just</w:t>
      </w:r>
      <w:r w:rsidRPr="000B073B">
        <w:rPr>
          <w:rFonts w:asciiTheme="majorBidi" w:hAnsiTheme="majorBidi" w:cstheme="majorBidi"/>
          <w:color w:val="000000"/>
        </w:rPr>
        <w:t xml:space="preserve">. </w:t>
      </w:r>
      <w:proofErr w:type="gramStart"/>
      <w:r w:rsidRPr="000B073B">
        <w:rPr>
          <w:rFonts w:asciiTheme="majorBidi" w:hAnsiTheme="majorBidi" w:cstheme="majorBidi"/>
          <w:color w:val="000000"/>
        </w:rPr>
        <w:t>55</w:t>
      </w:r>
      <w:proofErr w:type="gramEnd"/>
      <w:r w:rsidRPr="000B073B">
        <w:rPr>
          <w:rFonts w:asciiTheme="majorBidi" w:hAnsiTheme="majorBidi" w:cstheme="majorBidi"/>
          <w:color w:val="000000"/>
        </w:rPr>
        <w:t>, 55-98 (1992).</w:t>
      </w:r>
    </w:p>
  </w:footnote>
  <w:footnote w:id="28">
    <w:p w14:paraId="02701483" w14:textId="77777777" w:rsidR="0095491D" w:rsidRPr="000B073B" w:rsidRDefault="0095491D" w:rsidP="00D63F2D">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For a discussion of the two terms see </w:t>
      </w:r>
      <w:r w:rsidRPr="000B073B">
        <w:rPr>
          <w:rFonts w:asciiTheme="majorBidi" w:hAnsiTheme="majorBidi" w:cstheme="majorBidi"/>
          <w:smallCaps/>
        </w:rPr>
        <w:t>George P. Fletcher, Rethinking Criminal Law</w:t>
      </w:r>
      <w:r w:rsidRPr="000B073B">
        <w:rPr>
          <w:rFonts w:asciiTheme="majorBidi" w:hAnsiTheme="majorBidi" w:cstheme="majorBidi"/>
        </w:rPr>
        <w:t xml:space="preserve"> § 6.6-6.7, at 454-504 (1978).</w:t>
      </w:r>
    </w:p>
  </w:footnote>
  <w:footnote w:id="29">
    <w:p w14:paraId="20CF96AC" w14:textId="77777777" w:rsidR="0095491D" w:rsidRPr="000B073B" w:rsidRDefault="0095491D" w:rsidP="001A31BE">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For an early iteration of this concept, see </w:t>
      </w:r>
      <w:proofErr w:type="gramStart"/>
      <w:r w:rsidRPr="000B073B">
        <w:rPr>
          <w:rFonts w:asciiTheme="majorBidi" w:hAnsiTheme="majorBidi" w:cstheme="majorBidi"/>
          <w:smallCaps/>
        </w:rPr>
        <w:t>Hart,</w:t>
      </w:r>
      <w:proofErr w:type="gramEnd"/>
      <w:r w:rsidRPr="000B073B">
        <w:rPr>
          <w:rFonts w:asciiTheme="majorBidi" w:hAnsiTheme="majorBidi" w:cstheme="majorBidi"/>
          <w:smallCaps/>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_Ref438721996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14</w:t>
      </w:r>
      <w:r w:rsidRPr="000B073B">
        <w:rPr>
          <w:rFonts w:asciiTheme="majorBidi" w:hAnsiTheme="majorBidi" w:cstheme="majorBidi"/>
        </w:rPr>
        <w:fldChar w:fldCharType="end"/>
      </w:r>
      <w:r w:rsidRPr="000B073B">
        <w:rPr>
          <w:rFonts w:asciiTheme="majorBidi" w:hAnsiTheme="majorBidi" w:cstheme="majorBidi"/>
        </w:rPr>
        <w:t>, at</w:t>
      </w:r>
      <w:r w:rsidRPr="000B073B">
        <w:rPr>
          <w:rFonts w:asciiTheme="majorBidi" w:hAnsiTheme="majorBidi" w:cstheme="majorBidi"/>
          <w:smallCaps/>
        </w:rPr>
        <w:t xml:space="preserve"> </w:t>
      </w:r>
      <w:r w:rsidRPr="000B073B">
        <w:rPr>
          <w:rFonts w:asciiTheme="majorBidi" w:hAnsiTheme="majorBidi" w:cstheme="majorBidi"/>
        </w:rPr>
        <w:t xml:space="preserve">8-13. </w:t>
      </w:r>
      <w:r w:rsidRPr="000B073B">
        <w:rPr>
          <w:rFonts w:asciiTheme="majorBidi" w:hAnsiTheme="majorBidi" w:cstheme="majorBidi"/>
          <w:i/>
          <w:iCs/>
        </w:rPr>
        <w:t>See also</w:t>
      </w:r>
      <w:r w:rsidRPr="000B073B">
        <w:rPr>
          <w:rFonts w:asciiTheme="majorBidi" w:hAnsiTheme="majorBidi" w:cstheme="majorBidi"/>
        </w:rPr>
        <w:t xml:space="preserve"> Stephen P. Garvey, </w:t>
      </w:r>
      <w:r w:rsidRPr="000B073B">
        <w:rPr>
          <w:rFonts w:asciiTheme="majorBidi" w:hAnsiTheme="majorBidi" w:cstheme="majorBidi"/>
          <w:i/>
          <w:iCs/>
        </w:rPr>
        <w:t>Lifting the Veil on Punishment</w:t>
      </w:r>
      <w:r w:rsidRPr="000B073B">
        <w:rPr>
          <w:rFonts w:asciiTheme="majorBidi" w:hAnsiTheme="majorBidi" w:cstheme="majorBidi"/>
        </w:rPr>
        <w:t xml:space="preserve">, 7 </w:t>
      </w:r>
      <w:r w:rsidRPr="000B073B">
        <w:rPr>
          <w:rFonts w:asciiTheme="majorBidi" w:hAnsiTheme="majorBidi" w:cstheme="majorBidi"/>
          <w:smallCaps/>
        </w:rPr>
        <w:t>Buff. Crim. L. Rev</w:t>
      </w:r>
      <w:r w:rsidRPr="000B073B">
        <w:rPr>
          <w:rFonts w:asciiTheme="majorBidi" w:hAnsiTheme="majorBidi" w:cstheme="majorBidi"/>
        </w:rPr>
        <w:t xml:space="preserve">. 443, 450 (2004). </w:t>
      </w:r>
    </w:p>
  </w:footnote>
  <w:footnote w:id="30">
    <w:p w14:paraId="56D3F6FD" w14:textId="77777777" w:rsidR="0095491D" w:rsidRPr="000B073B" w:rsidRDefault="0095491D" w:rsidP="00D63F2D">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 xml:space="preserve">See generally </w:t>
      </w:r>
      <w:r w:rsidRPr="000B073B">
        <w:rPr>
          <w:rFonts w:asciiTheme="majorBidi" w:hAnsiTheme="majorBidi" w:cstheme="majorBidi"/>
        </w:rPr>
        <w:t xml:space="preserve">Paul H. Robinson &amp; John M. Darley, </w:t>
      </w:r>
      <w:r w:rsidRPr="000B073B">
        <w:rPr>
          <w:rFonts w:asciiTheme="majorBidi" w:hAnsiTheme="majorBidi" w:cstheme="majorBidi"/>
          <w:i/>
          <w:iCs/>
        </w:rPr>
        <w:t>The Utility of Desert</w:t>
      </w:r>
      <w:r w:rsidRPr="000B073B">
        <w:rPr>
          <w:rFonts w:asciiTheme="majorBidi" w:hAnsiTheme="majorBidi" w:cstheme="majorBidi"/>
        </w:rPr>
        <w:t xml:space="preserve">, 91 </w:t>
      </w:r>
      <w:r w:rsidRPr="000B073B">
        <w:rPr>
          <w:rFonts w:asciiTheme="majorBidi" w:hAnsiTheme="majorBidi" w:cstheme="majorBidi"/>
          <w:smallCaps/>
        </w:rPr>
        <w:t xml:space="preserve">NW. U. L. Rev. </w:t>
      </w:r>
      <w:r w:rsidRPr="000B073B">
        <w:rPr>
          <w:rFonts w:asciiTheme="majorBidi" w:hAnsiTheme="majorBidi" w:cstheme="majorBidi"/>
        </w:rPr>
        <w:t>453 (1997).</w:t>
      </w:r>
    </w:p>
  </w:footnote>
  <w:footnote w:id="31">
    <w:p w14:paraId="1CB722BA" w14:textId="77777777" w:rsidR="0095491D" w:rsidRPr="000B073B" w:rsidRDefault="0095491D" w:rsidP="001A31BE">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at 454.</w:t>
      </w:r>
    </w:p>
  </w:footnote>
  <w:footnote w:id="32">
    <w:p w14:paraId="73BD26D5" w14:textId="03C7C2CC" w:rsidR="0095491D" w:rsidRPr="000B073B" w:rsidRDefault="0095491D" w:rsidP="00541D22">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sz w:val="20"/>
          <w:szCs w:val="20"/>
        </w:rPr>
        <w:t xml:space="preserve"> </w:t>
      </w:r>
      <w:r w:rsidRPr="000B073B">
        <w:rPr>
          <w:rFonts w:asciiTheme="majorBidi" w:hAnsiTheme="majorBidi" w:cstheme="majorBidi"/>
          <w:sz w:val="20"/>
          <w:szCs w:val="20"/>
          <w:lang w:eastAsia="en-CA"/>
        </w:rPr>
        <w:t xml:space="preserve">Jeremy Bentham, </w:t>
      </w:r>
      <w:r w:rsidRPr="000B073B">
        <w:rPr>
          <w:rFonts w:asciiTheme="majorBidi" w:hAnsiTheme="majorBidi" w:cstheme="majorBidi"/>
          <w:i/>
          <w:iCs/>
          <w:sz w:val="20"/>
          <w:szCs w:val="20"/>
          <w:lang w:eastAsia="en-CA"/>
        </w:rPr>
        <w:t>Principles of the Penal Code,</w:t>
      </w:r>
      <w:r w:rsidRPr="000B073B">
        <w:rPr>
          <w:rFonts w:asciiTheme="majorBidi" w:hAnsiTheme="majorBidi" w:cstheme="majorBidi"/>
          <w:sz w:val="20"/>
          <w:szCs w:val="20"/>
          <w:lang w:eastAsia="en-CA"/>
        </w:rPr>
        <w:t xml:space="preserve"> </w:t>
      </w:r>
      <w:r w:rsidRPr="000B073B">
        <w:rPr>
          <w:rFonts w:asciiTheme="majorBidi" w:hAnsiTheme="majorBidi" w:cstheme="majorBidi"/>
          <w:i/>
          <w:iCs/>
          <w:sz w:val="20"/>
          <w:szCs w:val="20"/>
          <w:lang w:eastAsia="en-CA"/>
        </w:rPr>
        <w:t>in</w:t>
      </w:r>
      <w:r w:rsidRPr="000B073B">
        <w:rPr>
          <w:rFonts w:asciiTheme="majorBidi" w:hAnsiTheme="majorBidi" w:cstheme="majorBidi"/>
          <w:sz w:val="20"/>
          <w:szCs w:val="20"/>
          <w:lang w:eastAsia="en-CA"/>
        </w:rPr>
        <w:t xml:space="preserve"> </w:t>
      </w:r>
      <w:r w:rsidRPr="000B073B">
        <w:rPr>
          <w:rFonts w:asciiTheme="majorBidi" w:hAnsiTheme="majorBidi" w:cstheme="majorBidi"/>
          <w:smallCaps/>
          <w:sz w:val="20"/>
          <w:szCs w:val="20"/>
          <w:lang w:eastAsia="en-CA"/>
        </w:rPr>
        <w:t>The Theory of Legislation</w:t>
      </w:r>
      <w:r w:rsidRPr="000B073B">
        <w:rPr>
          <w:rFonts w:asciiTheme="majorBidi" w:hAnsiTheme="majorBidi" w:cstheme="majorBidi"/>
          <w:i/>
          <w:iCs/>
          <w:sz w:val="20"/>
          <w:szCs w:val="20"/>
          <w:lang w:eastAsia="en-CA"/>
        </w:rPr>
        <w:t xml:space="preserve"> </w:t>
      </w:r>
      <w:r w:rsidRPr="000B073B">
        <w:rPr>
          <w:rFonts w:asciiTheme="majorBidi" w:hAnsiTheme="majorBidi" w:cstheme="majorBidi"/>
          <w:sz w:val="20"/>
          <w:szCs w:val="20"/>
          <w:lang w:eastAsia="en-CA"/>
        </w:rPr>
        <w:t>425</w:t>
      </w:r>
      <w:r w:rsidRPr="000B073B">
        <w:rPr>
          <w:rFonts w:asciiTheme="majorBidi" w:hAnsiTheme="majorBidi" w:cstheme="majorBidi"/>
          <w:i/>
          <w:iCs/>
          <w:sz w:val="20"/>
          <w:szCs w:val="20"/>
          <w:lang w:eastAsia="en-CA"/>
        </w:rPr>
        <w:t xml:space="preserve"> </w:t>
      </w:r>
      <w:r w:rsidRPr="000B073B">
        <w:rPr>
          <w:rFonts w:asciiTheme="majorBidi" w:hAnsiTheme="majorBidi" w:cstheme="majorBidi"/>
          <w:sz w:val="20"/>
          <w:szCs w:val="20"/>
          <w:lang w:eastAsia="en-CA"/>
        </w:rPr>
        <w:t>(1931).</w:t>
      </w:r>
    </w:p>
  </w:footnote>
  <w:footnote w:id="33">
    <w:p w14:paraId="1BC8F687" w14:textId="5F5CF3FB" w:rsidR="0095491D" w:rsidRPr="000B073B" w:rsidRDefault="0095491D" w:rsidP="00541D22">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w:t>
      </w:r>
    </w:p>
  </w:footnote>
  <w:footnote w:id="34">
    <w:p w14:paraId="5F92F9E6" w14:textId="5E747444" w:rsidR="0095491D" w:rsidRPr="000B073B" w:rsidRDefault="0095491D" w:rsidP="00C30D3F">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at 425-27.</w:t>
      </w:r>
    </w:p>
  </w:footnote>
  <w:footnote w:id="35">
    <w:p w14:paraId="7C6FE3C5" w14:textId="0BCC83C3" w:rsidR="0095491D" w:rsidRPr="000B073B" w:rsidRDefault="0095491D" w:rsidP="0095193E">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smallCaps/>
          <w:lang w:eastAsia="en-CA"/>
        </w:rPr>
        <w:t xml:space="preserve">Frederick </w:t>
      </w:r>
      <w:proofErr w:type="spellStart"/>
      <w:r w:rsidRPr="000B073B">
        <w:rPr>
          <w:rFonts w:asciiTheme="majorBidi" w:hAnsiTheme="majorBidi" w:cstheme="majorBidi"/>
          <w:smallCaps/>
          <w:lang w:eastAsia="en-CA"/>
        </w:rPr>
        <w:t>Schauer</w:t>
      </w:r>
      <w:proofErr w:type="spellEnd"/>
      <w:r w:rsidRPr="000B073B">
        <w:rPr>
          <w:rFonts w:asciiTheme="majorBidi" w:hAnsiTheme="majorBidi" w:cstheme="majorBidi"/>
          <w:smallCaps/>
          <w:lang w:eastAsia="en-CA"/>
        </w:rPr>
        <w:t>, Profiles, Probabilities and Stereotypes</w:t>
      </w:r>
      <w:r w:rsidRPr="000B073B">
        <w:rPr>
          <w:rFonts w:asciiTheme="majorBidi" w:hAnsiTheme="majorBidi" w:cstheme="majorBidi"/>
        </w:rPr>
        <w:t xml:space="preserve"> 224-50 (2003). </w:t>
      </w:r>
    </w:p>
  </w:footnote>
  <w:footnote w:id="36">
    <w:p w14:paraId="1C736A92" w14:textId="49D3D93B" w:rsidR="0095491D" w:rsidRPr="000B073B" w:rsidRDefault="0095491D" w:rsidP="0038687B">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at 236-42.</w:t>
      </w:r>
    </w:p>
  </w:footnote>
  <w:footnote w:id="37">
    <w:p w14:paraId="04E6F3FB" w14:textId="77777777" w:rsidR="0095491D" w:rsidRPr="000B073B" w:rsidRDefault="0095491D" w:rsidP="000B073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Model Penal Code</w:t>
      </w:r>
      <w:r w:rsidRPr="000B073B">
        <w:rPr>
          <w:rFonts w:asciiTheme="majorBidi" w:hAnsiTheme="majorBidi" w:cstheme="majorBidi"/>
        </w:rPr>
        <w:t xml:space="preserve"> § 2.05 (</w:t>
      </w:r>
      <w:r w:rsidRPr="000B073B">
        <w:rPr>
          <w:rFonts w:asciiTheme="majorBidi" w:hAnsiTheme="majorBidi" w:cstheme="majorBidi"/>
          <w:smallCaps/>
        </w:rPr>
        <w:t>Am Law Inst.,</w:t>
      </w:r>
      <w:r w:rsidRPr="000B073B">
        <w:rPr>
          <w:rFonts w:asciiTheme="majorBidi" w:hAnsiTheme="majorBidi" w:cstheme="majorBidi"/>
        </w:rPr>
        <w:t xml:space="preserve"> Official Draft and Explanatory Notes 1985).</w:t>
      </w:r>
    </w:p>
  </w:footnote>
  <w:footnote w:id="38">
    <w:p w14:paraId="2B2A9C88" w14:textId="77777777" w:rsidR="0095491D" w:rsidRPr="000B073B" w:rsidRDefault="0095491D" w:rsidP="000B073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smallCaps/>
        </w:rPr>
        <w:t xml:space="preserve">LaFave,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_Ref432075494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45</w:t>
      </w:r>
      <w:r w:rsidRPr="000B073B">
        <w:rPr>
          <w:rFonts w:asciiTheme="majorBidi" w:hAnsiTheme="majorBidi" w:cstheme="majorBidi"/>
        </w:rPr>
        <w:fldChar w:fldCharType="end"/>
      </w:r>
      <w:r w:rsidRPr="000B073B">
        <w:rPr>
          <w:rFonts w:asciiTheme="majorBidi" w:hAnsiTheme="majorBidi" w:cstheme="majorBidi"/>
        </w:rPr>
        <w:t xml:space="preserve">, at 381. For an early argument highlighting the connection between the burden of proof and strict liability see Arthur </w:t>
      </w:r>
      <w:proofErr w:type="spellStart"/>
      <w:r w:rsidRPr="000B073B">
        <w:rPr>
          <w:rFonts w:asciiTheme="majorBidi" w:hAnsiTheme="majorBidi" w:cstheme="majorBidi"/>
        </w:rPr>
        <w:t>Goodhart</w:t>
      </w:r>
      <w:proofErr w:type="spellEnd"/>
      <w:r w:rsidRPr="000B073B">
        <w:rPr>
          <w:rFonts w:asciiTheme="majorBidi" w:hAnsiTheme="majorBidi" w:cstheme="majorBidi"/>
        </w:rPr>
        <w:t xml:space="preserve">, </w:t>
      </w:r>
      <w:r w:rsidRPr="000B073B">
        <w:rPr>
          <w:rFonts w:asciiTheme="majorBidi" w:hAnsiTheme="majorBidi" w:cstheme="majorBidi"/>
          <w:i/>
          <w:iCs/>
        </w:rPr>
        <w:t>Possession of Drugs and Absolute Liability</w:t>
      </w:r>
      <w:r w:rsidRPr="000B073B">
        <w:rPr>
          <w:rFonts w:asciiTheme="majorBidi" w:hAnsiTheme="majorBidi" w:cstheme="majorBidi"/>
        </w:rPr>
        <w:t>, 84 L</w:t>
      </w:r>
      <w:r w:rsidRPr="000B073B">
        <w:rPr>
          <w:rFonts w:asciiTheme="majorBidi" w:hAnsiTheme="majorBidi" w:cstheme="majorBidi"/>
          <w:smallCaps/>
        </w:rPr>
        <w:t>.Q. Rev</w:t>
      </w:r>
      <w:r w:rsidRPr="000B073B">
        <w:rPr>
          <w:rFonts w:asciiTheme="majorBidi" w:hAnsiTheme="majorBidi" w:cstheme="majorBidi"/>
        </w:rPr>
        <w:t>. 382, 385-6 (1968).</w:t>
      </w:r>
    </w:p>
  </w:footnote>
  <w:footnote w:id="39">
    <w:p w14:paraId="6C01F4A3" w14:textId="5597187E" w:rsidR="0095491D" w:rsidRPr="000B073B" w:rsidRDefault="0095491D" w:rsidP="000B073B">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lang w:eastAsia="en-CA"/>
        </w:rPr>
        <w:t xml:space="preserve">Bentham, </w:t>
      </w:r>
      <w:r w:rsidRPr="000B073B">
        <w:rPr>
          <w:rFonts w:asciiTheme="majorBidi" w:hAnsiTheme="majorBidi" w:cstheme="majorBidi"/>
          <w:i/>
          <w:iCs/>
          <w:lang w:eastAsia="en-CA"/>
        </w:rPr>
        <w:t>supra</w:t>
      </w:r>
      <w:r w:rsidRPr="000B073B">
        <w:rPr>
          <w:rFonts w:asciiTheme="majorBidi" w:hAnsiTheme="majorBidi" w:cstheme="majorBidi"/>
          <w:lang w:eastAsia="en-CA"/>
        </w:rPr>
        <w:t xml:space="preserve"> note </w:t>
      </w:r>
      <w:r w:rsidRPr="000B073B">
        <w:rPr>
          <w:rFonts w:asciiTheme="majorBidi" w:hAnsiTheme="majorBidi" w:cstheme="majorBidi"/>
          <w:lang w:eastAsia="en-CA"/>
        </w:rPr>
        <w:fldChar w:fldCharType="begin"/>
      </w:r>
      <w:r w:rsidRPr="000B073B">
        <w:rPr>
          <w:rFonts w:asciiTheme="majorBidi" w:hAnsiTheme="majorBidi" w:cstheme="majorBidi"/>
          <w:lang w:eastAsia="en-CA"/>
        </w:rPr>
        <w:instrText xml:space="preserve"> NOTEREF _Ref465697395 \h  \* MERGEFORMAT </w:instrText>
      </w:r>
      <w:r w:rsidRPr="000B073B">
        <w:rPr>
          <w:rFonts w:asciiTheme="majorBidi" w:hAnsiTheme="majorBidi" w:cstheme="majorBidi"/>
          <w:lang w:eastAsia="en-CA"/>
        </w:rPr>
      </w:r>
      <w:r w:rsidRPr="000B073B">
        <w:rPr>
          <w:rFonts w:asciiTheme="majorBidi" w:hAnsiTheme="majorBidi" w:cstheme="majorBidi"/>
          <w:lang w:eastAsia="en-CA"/>
        </w:rPr>
        <w:fldChar w:fldCharType="separate"/>
      </w:r>
      <w:r w:rsidRPr="000B073B">
        <w:rPr>
          <w:rFonts w:asciiTheme="majorBidi" w:hAnsiTheme="majorBidi" w:cstheme="majorBidi"/>
          <w:lang w:eastAsia="en-CA"/>
        </w:rPr>
        <w:t>30</w:t>
      </w:r>
      <w:r w:rsidRPr="000B073B">
        <w:rPr>
          <w:rFonts w:asciiTheme="majorBidi" w:hAnsiTheme="majorBidi" w:cstheme="majorBidi"/>
          <w:lang w:eastAsia="en-CA"/>
        </w:rPr>
        <w:fldChar w:fldCharType="end"/>
      </w:r>
      <w:r w:rsidRPr="000B073B">
        <w:rPr>
          <w:rFonts w:asciiTheme="majorBidi" w:hAnsiTheme="majorBidi" w:cstheme="majorBidi"/>
          <w:lang w:eastAsia="en-CA"/>
        </w:rPr>
        <w:t xml:space="preserve"> at 426.</w:t>
      </w:r>
    </w:p>
  </w:footnote>
  <w:footnote w:id="40">
    <w:p w14:paraId="5F217A04" w14:textId="77777777" w:rsidR="0095491D" w:rsidRPr="000B073B" w:rsidRDefault="0095491D" w:rsidP="004C0BD1">
      <w:pPr>
        <w:pStyle w:val="Default"/>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proofErr w:type="spellStart"/>
      <w:r w:rsidRPr="000B073B">
        <w:rPr>
          <w:rFonts w:asciiTheme="majorBidi" w:hAnsiTheme="majorBidi" w:cstheme="majorBidi"/>
          <w:sz w:val="20"/>
          <w:szCs w:val="20"/>
        </w:rPr>
        <w:t>Tatjana</w:t>
      </w:r>
      <w:proofErr w:type="spellEnd"/>
      <w:r w:rsidRPr="000B073B">
        <w:rPr>
          <w:rFonts w:asciiTheme="majorBidi" w:hAnsiTheme="majorBidi" w:cstheme="majorBidi"/>
          <w:sz w:val="20"/>
          <w:szCs w:val="20"/>
        </w:rPr>
        <w:t xml:space="preserve"> </w:t>
      </w:r>
      <w:proofErr w:type="spellStart"/>
      <w:r w:rsidRPr="000B073B">
        <w:rPr>
          <w:rFonts w:asciiTheme="majorBidi" w:hAnsiTheme="majorBidi" w:cstheme="majorBidi"/>
          <w:sz w:val="20"/>
          <w:szCs w:val="20"/>
        </w:rPr>
        <w:t>Hörnle</w:t>
      </w:r>
      <w:proofErr w:type="spellEnd"/>
      <w:r w:rsidRPr="000B073B">
        <w:rPr>
          <w:rFonts w:asciiTheme="majorBidi" w:hAnsiTheme="majorBidi" w:cstheme="majorBidi"/>
          <w:sz w:val="20"/>
          <w:szCs w:val="20"/>
        </w:rPr>
        <w:t xml:space="preserve">, </w:t>
      </w:r>
      <w:r w:rsidRPr="000B073B">
        <w:rPr>
          <w:rFonts w:asciiTheme="majorBidi" w:hAnsiTheme="majorBidi" w:cstheme="majorBidi"/>
          <w:i/>
          <w:iCs/>
          <w:sz w:val="20"/>
          <w:szCs w:val="20"/>
        </w:rPr>
        <w:t>Social Expectations in the Criminal Law: The “Reasonable Person” in a Comparative Perspective</w:t>
      </w:r>
      <w:r w:rsidRPr="000B073B">
        <w:rPr>
          <w:rFonts w:asciiTheme="majorBidi" w:hAnsiTheme="majorBidi" w:cstheme="majorBidi"/>
          <w:sz w:val="20"/>
          <w:szCs w:val="20"/>
        </w:rPr>
        <w:t xml:space="preserve">, 11 </w:t>
      </w:r>
      <w:r w:rsidRPr="000B073B">
        <w:rPr>
          <w:rFonts w:asciiTheme="majorBidi" w:hAnsiTheme="majorBidi" w:cstheme="majorBidi"/>
          <w:smallCaps/>
          <w:color w:val="auto"/>
          <w:sz w:val="20"/>
          <w:szCs w:val="20"/>
        </w:rPr>
        <w:t>New Crim. L. Rev</w:t>
      </w:r>
      <w:r w:rsidRPr="000B073B">
        <w:rPr>
          <w:rFonts w:asciiTheme="majorBidi" w:hAnsiTheme="majorBidi" w:cstheme="majorBidi"/>
          <w:sz w:val="20"/>
          <w:szCs w:val="20"/>
        </w:rPr>
        <w:t>. 1, 17 (2008).</w:t>
      </w:r>
    </w:p>
  </w:footnote>
  <w:footnote w:id="41">
    <w:p w14:paraId="3ABA9967"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e.g</w:t>
      </w:r>
      <w:r w:rsidRPr="000B073B">
        <w:rPr>
          <w:rFonts w:asciiTheme="majorBidi" w:hAnsiTheme="majorBidi" w:cstheme="majorBidi"/>
        </w:rPr>
        <w:t xml:space="preserve">., V.C. Ball, </w:t>
      </w:r>
      <w:proofErr w:type="gramStart"/>
      <w:r w:rsidRPr="000B073B">
        <w:rPr>
          <w:rFonts w:asciiTheme="majorBidi" w:hAnsiTheme="majorBidi" w:cstheme="majorBidi"/>
          <w:i/>
          <w:iCs/>
        </w:rPr>
        <w:t>The</w:t>
      </w:r>
      <w:proofErr w:type="gramEnd"/>
      <w:r w:rsidRPr="000B073B">
        <w:rPr>
          <w:rFonts w:asciiTheme="majorBidi" w:hAnsiTheme="majorBidi" w:cstheme="majorBidi"/>
          <w:i/>
          <w:iCs/>
        </w:rPr>
        <w:t xml:space="preserve"> Moment of Truth: Probability Theory and Standards of Proof</w:t>
      </w:r>
      <w:r w:rsidRPr="000B073B">
        <w:rPr>
          <w:rFonts w:asciiTheme="majorBidi" w:hAnsiTheme="majorBidi" w:cstheme="majorBidi"/>
        </w:rPr>
        <w:t xml:space="preserve">, 14 </w:t>
      </w:r>
      <w:proofErr w:type="spellStart"/>
      <w:r w:rsidRPr="000B073B">
        <w:rPr>
          <w:rFonts w:asciiTheme="majorBidi" w:hAnsiTheme="majorBidi" w:cstheme="majorBidi"/>
          <w:smallCaps/>
        </w:rPr>
        <w:t>Vand</w:t>
      </w:r>
      <w:proofErr w:type="spellEnd"/>
      <w:r w:rsidRPr="000B073B">
        <w:rPr>
          <w:rFonts w:asciiTheme="majorBidi" w:hAnsiTheme="majorBidi" w:cstheme="majorBidi"/>
          <w:smallCaps/>
        </w:rPr>
        <w:t>. L. Rev</w:t>
      </w:r>
      <w:r w:rsidRPr="000B073B">
        <w:rPr>
          <w:rFonts w:asciiTheme="majorBidi" w:hAnsiTheme="majorBidi" w:cstheme="majorBidi"/>
        </w:rPr>
        <w:t xml:space="preserve">. 807, 816 (1961); John Kaplan, </w:t>
      </w:r>
      <w:r w:rsidRPr="000B073B">
        <w:rPr>
          <w:rFonts w:asciiTheme="majorBidi" w:hAnsiTheme="majorBidi" w:cstheme="majorBidi"/>
          <w:i/>
          <w:iCs/>
        </w:rPr>
        <w:t xml:space="preserve">Decision Theory and the </w:t>
      </w:r>
      <w:proofErr w:type="spellStart"/>
      <w:r w:rsidRPr="000B073B">
        <w:rPr>
          <w:rFonts w:asciiTheme="majorBidi" w:hAnsiTheme="majorBidi" w:cstheme="majorBidi"/>
          <w:i/>
          <w:iCs/>
        </w:rPr>
        <w:t>Factfinding</w:t>
      </w:r>
      <w:proofErr w:type="spellEnd"/>
      <w:r w:rsidRPr="000B073B">
        <w:rPr>
          <w:rFonts w:asciiTheme="majorBidi" w:hAnsiTheme="majorBidi" w:cstheme="majorBidi"/>
          <w:i/>
          <w:iCs/>
        </w:rPr>
        <w:t xml:space="preserve"> Process</w:t>
      </w:r>
      <w:r w:rsidRPr="000B073B">
        <w:rPr>
          <w:rFonts w:asciiTheme="majorBidi" w:hAnsiTheme="majorBidi" w:cstheme="majorBidi"/>
        </w:rPr>
        <w:t xml:space="preserve">, 20 </w:t>
      </w:r>
      <w:r w:rsidRPr="000B073B">
        <w:rPr>
          <w:rFonts w:asciiTheme="majorBidi" w:hAnsiTheme="majorBidi" w:cstheme="majorBidi"/>
          <w:smallCaps/>
        </w:rPr>
        <w:t>Stan. L. Rev</w:t>
      </w:r>
      <w:r w:rsidRPr="000B073B">
        <w:rPr>
          <w:rFonts w:asciiTheme="majorBidi" w:hAnsiTheme="majorBidi" w:cstheme="majorBidi"/>
        </w:rPr>
        <w:t xml:space="preserve">. 1065, 1073-77 (1968). </w:t>
      </w:r>
    </w:p>
  </w:footnote>
  <w:footnote w:id="42">
    <w:p w14:paraId="239BCFCC"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Larry </w:t>
      </w:r>
      <w:proofErr w:type="spellStart"/>
      <w:r w:rsidRPr="000B073B">
        <w:rPr>
          <w:rFonts w:asciiTheme="majorBidi" w:hAnsiTheme="majorBidi" w:cstheme="majorBidi"/>
        </w:rPr>
        <w:t>Laudan</w:t>
      </w:r>
      <w:proofErr w:type="spellEnd"/>
      <w:r w:rsidRPr="000B073B">
        <w:rPr>
          <w:rFonts w:asciiTheme="majorBidi" w:hAnsiTheme="majorBidi" w:cstheme="majorBidi"/>
        </w:rPr>
        <w:t xml:space="preserve">, </w:t>
      </w:r>
      <w:r w:rsidRPr="000B073B">
        <w:rPr>
          <w:rFonts w:asciiTheme="majorBidi" w:hAnsiTheme="majorBidi" w:cstheme="majorBidi"/>
          <w:i/>
          <w:iCs/>
        </w:rPr>
        <w:t>Is it Finally Time to Put ‘Proof Beyond a Reasonable Doubt’ Out to Pasture</w:t>
      </w:r>
      <w:proofErr w:type="gramStart"/>
      <w:r w:rsidRPr="000B073B">
        <w:rPr>
          <w:rFonts w:asciiTheme="majorBidi" w:hAnsiTheme="majorBidi" w:cstheme="majorBidi"/>
          <w:i/>
          <w:iCs/>
        </w:rPr>
        <w:t>?,</w:t>
      </w:r>
      <w:proofErr w:type="gramEnd"/>
      <w:r w:rsidRPr="000B073B">
        <w:rPr>
          <w:rFonts w:asciiTheme="majorBidi" w:hAnsiTheme="majorBidi" w:cstheme="majorBidi"/>
        </w:rPr>
        <w:t xml:space="preserve"> </w:t>
      </w:r>
      <w:r w:rsidRPr="000B073B">
        <w:rPr>
          <w:rFonts w:asciiTheme="majorBidi" w:hAnsiTheme="majorBidi" w:cstheme="majorBidi"/>
          <w:i/>
          <w:iCs/>
        </w:rPr>
        <w:t>in</w:t>
      </w:r>
      <w:r w:rsidRPr="000B073B">
        <w:rPr>
          <w:rFonts w:asciiTheme="majorBidi" w:hAnsiTheme="majorBidi" w:cstheme="majorBidi"/>
        </w:rPr>
        <w:t xml:space="preserve"> </w:t>
      </w:r>
      <w:r w:rsidRPr="000B073B">
        <w:rPr>
          <w:rFonts w:asciiTheme="majorBidi" w:hAnsiTheme="majorBidi" w:cstheme="majorBidi"/>
          <w:smallCaps/>
        </w:rPr>
        <w:t>The Routledge Companion to Philosophy of Law</w:t>
      </w:r>
      <w:r w:rsidRPr="000B073B">
        <w:rPr>
          <w:rFonts w:asciiTheme="majorBidi" w:hAnsiTheme="majorBidi" w:cstheme="majorBidi"/>
        </w:rPr>
        <w:t xml:space="preserve"> 317, 317 (</w:t>
      </w:r>
      <w:proofErr w:type="spellStart"/>
      <w:r w:rsidRPr="000B073B">
        <w:rPr>
          <w:rFonts w:asciiTheme="majorBidi" w:hAnsiTheme="majorBidi" w:cstheme="majorBidi"/>
        </w:rPr>
        <w:t>Andri</w:t>
      </w:r>
      <w:proofErr w:type="spellEnd"/>
      <w:r w:rsidRPr="000B073B">
        <w:rPr>
          <w:rFonts w:asciiTheme="majorBidi" w:hAnsiTheme="majorBidi" w:cstheme="majorBidi"/>
        </w:rPr>
        <w:t xml:space="preserve"> </w:t>
      </w:r>
      <w:proofErr w:type="spellStart"/>
      <w:r w:rsidRPr="000B073B">
        <w:rPr>
          <w:rFonts w:asciiTheme="majorBidi" w:hAnsiTheme="majorBidi" w:cstheme="majorBidi"/>
        </w:rPr>
        <w:t>Marmor</w:t>
      </w:r>
      <w:proofErr w:type="spellEnd"/>
      <w:r w:rsidRPr="000B073B">
        <w:rPr>
          <w:rFonts w:asciiTheme="majorBidi" w:hAnsiTheme="majorBidi" w:cstheme="majorBidi"/>
        </w:rPr>
        <w:t xml:space="preserve"> ed., 2012).</w:t>
      </w:r>
    </w:p>
  </w:footnote>
  <w:footnote w:id="43">
    <w:p w14:paraId="2B7F949C"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smallCaps/>
        </w:rPr>
        <w:footnoteRef/>
      </w:r>
      <w:r w:rsidRPr="000B073B">
        <w:rPr>
          <w:rFonts w:asciiTheme="majorBidi" w:hAnsiTheme="majorBidi" w:cstheme="majorBidi"/>
          <w:smallCaps/>
          <w:rtl/>
        </w:rPr>
        <w:t xml:space="preserve"> </w:t>
      </w:r>
      <w:r w:rsidRPr="000B073B">
        <w:rPr>
          <w:rFonts w:asciiTheme="majorBidi" w:hAnsiTheme="majorBidi" w:cstheme="majorBidi"/>
          <w:smallCaps/>
        </w:rPr>
        <w:t xml:space="preserve"> </w:t>
      </w:r>
      <w:proofErr w:type="gramStart"/>
      <w:r w:rsidRPr="000B073B">
        <w:rPr>
          <w:rFonts w:asciiTheme="majorBidi" w:hAnsiTheme="majorBidi" w:cstheme="majorBidi"/>
          <w:smallCaps/>
        </w:rPr>
        <w:t>2</w:t>
      </w:r>
      <w:proofErr w:type="gramEnd"/>
      <w:r w:rsidRPr="000B073B">
        <w:rPr>
          <w:rFonts w:asciiTheme="majorBidi" w:hAnsiTheme="majorBidi" w:cstheme="majorBidi"/>
          <w:smallCaps/>
        </w:rPr>
        <w:t xml:space="preserve"> George E. Dix et al., McCormick on Evidence</w:t>
      </w:r>
      <w:r w:rsidRPr="000B073B">
        <w:rPr>
          <w:rFonts w:asciiTheme="majorBidi" w:hAnsiTheme="majorBidi" w:cstheme="majorBidi"/>
        </w:rPr>
        <w:t xml:space="preserve"> 570-571 (Kenneth S. Broun ed., 7th ed. 2013). To be sure, at time the state may apply sanctions based on a more lenient decision threshold by turning to administrative proceedings. </w:t>
      </w:r>
      <w:r w:rsidRPr="000B073B">
        <w:rPr>
          <w:rFonts w:asciiTheme="majorBidi" w:hAnsiTheme="majorBidi" w:cstheme="majorBidi"/>
          <w:i/>
          <w:iCs/>
        </w:rPr>
        <w:t>See</w:t>
      </w:r>
      <w:r w:rsidRPr="000B073B">
        <w:rPr>
          <w:rFonts w:asciiTheme="majorBidi" w:hAnsiTheme="majorBidi" w:cstheme="majorBidi"/>
        </w:rPr>
        <w:t xml:space="preserve"> Steadman v. SEC, 450 U.S. 91, 102 (1981) (adopting the preponderance-of-the-evidence standard in the context of administrative litigation brought by the Securities and Exchange Commission). </w:t>
      </w:r>
    </w:p>
  </w:footnote>
  <w:footnote w:id="44">
    <w:p w14:paraId="5874F3CC"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 e.g</w:t>
      </w:r>
      <w:r w:rsidRPr="000B073B">
        <w:rPr>
          <w:rFonts w:asciiTheme="majorBidi" w:hAnsiTheme="majorBidi" w:cstheme="majorBidi"/>
        </w:rPr>
        <w:t xml:space="preserve">., </w:t>
      </w:r>
      <w:r w:rsidRPr="000B073B">
        <w:rPr>
          <w:rFonts w:asciiTheme="majorBidi" w:hAnsiTheme="majorBidi" w:cstheme="majorBidi"/>
          <w:smallCaps/>
        </w:rPr>
        <w:t>Stein</w:t>
      </w:r>
      <w:r w:rsidRPr="000B073B">
        <w:rPr>
          <w:rFonts w:asciiTheme="majorBidi" w:hAnsiTheme="majorBidi" w:cstheme="majorBidi"/>
        </w:rPr>
        <w:t xml:space="preserve">, </w:t>
      </w:r>
      <w:r w:rsidRPr="000B073B">
        <w:rPr>
          <w:rFonts w:asciiTheme="majorBidi" w:hAnsiTheme="majorBidi" w:cstheme="majorBidi"/>
          <w:i/>
          <w:iCs/>
        </w:rPr>
        <w:t xml:space="preserve">supra </w:t>
      </w:r>
      <w:r w:rsidRPr="000B073B">
        <w:rPr>
          <w:rFonts w:asciiTheme="majorBidi" w:hAnsiTheme="majorBidi" w:cstheme="majorBidi"/>
        </w:rPr>
        <w:t xml:space="preserve">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_Ref432024888 \h  \* MERGEFORMAT </w:instrText>
      </w:r>
      <w:r w:rsidRPr="000B073B">
        <w:rPr>
          <w:rFonts w:asciiTheme="majorBidi" w:hAnsiTheme="majorBidi" w:cstheme="majorBidi"/>
        </w:rPr>
      </w:r>
      <w:r w:rsidRPr="000B073B">
        <w:rPr>
          <w:rFonts w:asciiTheme="majorBidi" w:hAnsiTheme="majorBidi" w:cstheme="majorBidi"/>
        </w:rPr>
        <w:fldChar w:fldCharType="separate"/>
      </w:r>
      <w:proofErr w:type="gramStart"/>
      <w:r w:rsidRPr="000B073B">
        <w:rPr>
          <w:rFonts w:asciiTheme="majorBidi" w:hAnsiTheme="majorBidi" w:cstheme="majorBidi"/>
        </w:rPr>
        <w:t>4</w:t>
      </w:r>
      <w:proofErr w:type="gramEnd"/>
      <w:r w:rsidRPr="000B073B">
        <w:rPr>
          <w:rFonts w:asciiTheme="majorBidi" w:hAnsiTheme="majorBidi" w:cstheme="majorBidi"/>
        </w:rPr>
        <w:fldChar w:fldCharType="end"/>
      </w:r>
      <w:r w:rsidRPr="000B073B">
        <w:rPr>
          <w:rFonts w:asciiTheme="majorBidi" w:hAnsiTheme="majorBidi" w:cstheme="majorBidi"/>
        </w:rPr>
        <w:t>, at 172-78</w:t>
      </w:r>
      <w:r w:rsidRPr="000B073B">
        <w:rPr>
          <w:rFonts w:asciiTheme="majorBidi" w:hAnsiTheme="majorBidi" w:cstheme="majorBidi"/>
          <w:rtl/>
        </w:rPr>
        <w:t>;</w:t>
      </w:r>
      <w:r w:rsidRPr="000B073B">
        <w:rPr>
          <w:rFonts w:asciiTheme="majorBidi" w:hAnsiTheme="majorBidi" w:cstheme="majorBidi"/>
        </w:rPr>
        <w:t xml:space="preserve"> Jon O. Newman, </w:t>
      </w:r>
      <w:r w:rsidRPr="000B073B">
        <w:rPr>
          <w:rFonts w:asciiTheme="majorBidi" w:hAnsiTheme="majorBidi" w:cstheme="majorBidi"/>
          <w:i/>
          <w:iCs/>
        </w:rPr>
        <w:t>Beyond “Reasonable Doubt”</w:t>
      </w:r>
      <w:r w:rsidRPr="000B073B">
        <w:rPr>
          <w:rFonts w:asciiTheme="majorBidi" w:hAnsiTheme="majorBidi" w:cstheme="majorBidi"/>
        </w:rPr>
        <w:t xml:space="preserve">, 68 </w:t>
      </w:r>
      <w:r w:rsidRPr="000B073B">
        <w:rPr>
          <w:rFonts w:asciiTheme="majorBidi" w:hAnsiTheme="majorBidi" w:cstheme="majorBidi"/>
          <w:smallCaps/>
        </w:rPr>
        <w:t>N.Y.U. L. Rev.</w:t>
      </w:r>
      <w:r w:rsidRPr="000B073B">
        <w:rPr>
          <w:rFonts w:asciiTheme="majorBidi" w:hAnsiTheme="majorBidi" w:cstheme="majorBidi"/>
        </w:rPr>
        <w:t xml:space="preserve"> 979 (1993). </w:t>
      </w:r>
    </w:p>
  </w:footnote>
  <w:footnote w:id="45">
    <w:p w14:paraId="19B9ABC2"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e.g.</w:t>
      </w:r>
      <w:r w:rsidRPr="000B073B">
        <w:rPr>
          <w:rFonts w:asciiTheme="majorBidi" w:hAnsiTheme="majorBidi" w:cstheme="majorBidi"/>
        </w:rPr>
        <w:t xml:space="preserve">, Rita James Simon, </w:t>
      </w:r>
      <w:r w:rsidRPr="000B073B">
        <w:rPr>
          <w:rFonts w:asciiTheme="majorBidi" w:hAnsiTheme="majorBidi" w:cstheme="majorBidi"/>
          <w:i/>
          <w:iCs/>
        </w:rPr>
        <w:t>“Beyond a Reasonable Doubt” – An Experimental Attempt at Quantification</w:t>
      </w:r>
      <w:r w:rsidRPr="000B073B">
        <w:rPr>
          <w:rFonts w:asciiTheme="majorBidi" w:hAnsiTheme="majorBidi" w:cstheme="majorBidi"/>
        </w:rPr>
        <w:t xml:space="preserve">, 6 </w:t>
      </w:r>
      <w:r w:rsidRPr="000B073B">
        <w:rPr>
          <w:rFonts w:asciiTheme="majorBidi" w:hAnsiTheme="majorBidi" w:cstheme="majorBidi"/>
          <w:smallCaps/>
        </w:rPr>
        <w:t xml:space="preserve">J. Applied </w:t>
      </w:r>
      <w:proofErr w:type="spellStart"/>
      <w:r w:rsidRPr="000B073B">
        <w:rPr>
          <w:rFonts w:asciiTheme="majorBidi" w:hAnsiTheme="majorBidi" w:cstheme="majorBidi"/>
          <w:smallCaps/>
        </w:rPr>
        <w:t>Behav</w:t>
      </w:r>
      <w:proofErr w:type="spellEnd"/>
      <w:r w:rsidRPr="000B073B">
        <w:rPr>
          <w:rFonts w:asciiTheme="majorBidi" w:hAnsiTheme="majorBidi" w:cstheme="majorBidi"/>
          <w:smallCaps/>
        </w:rPr>
        <w:t>. Sci</w:t>
      </w:r>
      <w:r w:rsidRPr="000B073B">
        <w:rPr>
          <w:rFonts w:asciiTheme="majorBidi" w:hAnsiTheme="majorBidi" w:cstheme="majorBidi"/>
        </w:rPr>
        <w:t xml:space="preserve">. 203, 204-08 (1970) (experimental data); Rita James Simon &amp; Linda Mahan, </w:t>
      </w:r>
      <w:r w:rsidRPr="000B073B">
        <w:rPr>
          <w:rFonts w:asciiTheme="majorBidi" w:hAnsiTheme="majorBidi" w:cstheme="majorBidi"/>
          <w:i/>
          <w:iCs/>
        </w:rPr>
        <w:t>Quantifying Burdens of Proof: A View from the Bench, the Jury and the Classroom</w:t>
      </w:r>
      <w:r w:rsidRPr="000B073B">
        <w:rPr>
          <w:rFonts w:asciiTheme="majorBidi" w:hAnsiTheme="majorBidi" w:cstheme="majorBidi"/>
        </w:rPr>
        <w:t xml:space="preserve">, </w:t>
      </w:r>
      <w:proofErr w:type="gramStart"/>
      <w:r w:rsidRPr="000B073B">
        <w:rPr>
          <w:rFonts w:asciiTheme="majorBidi" w:hAnsiTheme="majorBidi" w:cstheme="majorBidi"/>
        </w:rPr>
        <w:t>5</w:t>
      </w:r>
      <w:proofErr w:type="gramEnd"/>
      <w:r w:rsidRPr="000B073B">
        <w:rPr>
          <w:rFonts w:asciiTheme="majorBidi" w:hAnsiTheme="majorBidi" w:cstheme="majorBidi"/>
        </w:rPr>
        <w:t xml:space="preserve"> </w:t>
      </w:r>
      <w:r w:rsidRPr="000B073B">
        <w:rPr>
          <w:rFonts w:asciiTheme="majorBidi" w:hAnsiTheme="majorBidi" w:cstheme="majorBidi"/>
          <w:smallCaps/>
        </w:rPr>
        <w:t xml:space="preserve">Law &amp; </w:t>
      </w:r>
      <w:proofErr w:type="spellStart"/>
      <w:r w:rsidRPr="000B073B">
        <w:rPr>
          <w:rFonts w:asciiTheme="majorBidi" w:hAnsiTheme="majorBidi" w:cstheme="majorBidi"/>
          <w:smallCaps/>
        </w:rPr>
        <w:t>Soc’y</w:t>
      </w:r>
      <w:proofErr w:type="spellEnd"/>
      <w:r w:rsidRPr="000B073B">
        <w:rPr>
          <w:rFonts w:asciiTheme="majorBidi" w:hAnsiTheme="majorBidi" w:cstheme="majorBidi"/>
          <w:smallCaps/>
        </w:rPr>
        <w:t xml:space="preserve"> Rev.</w:t>
      </w:r>
      <w:r w:rsidRPr="000B073B">
        <w:rPr>
          <w:rFonts w:asciiTheme="majorBidi" w:hAnsiTheme="majorBidi" w:cstheme="majorBidi"/>
        </w:rPr>
        <w:t xml:space="preserve"> 319, 325-29 (1971) (survey data).</w:t>
      </w:r>
    </w:p>
  </w:footnote>
  <w:footnote w:id="46">
    <w:p w14:paraId="02FEF25E"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smallCaps/>
        </w:rPr>
        <w:t>Fed. Judicial Ctr., Pattern Criminal Jury Instructions</w:t>
      </w:r>
      <w:r w:rsidRPr="000B073B">
        <w:rPr>
          <w:rFonts w:asciiTheme="majorBidi" w:hAnsiTheme="majorBidi" w:cstheme="majorBidi"/>
        </w:rPr>
        <w:t xml:space="preserve">, </w:t>
      </w:r>
      <w:r w:rsidRPr="000B073B">
        <w:rPr>
          <w:rFonts w:asciiTheme="majorBidi" w:hAnsiTheme="majorBidi" w:cstheme="majorBidi"/>
          <w:smallCaps/>
        </w:rPr>
        <w:t xml:space="preserve">Instruction </w:t>
      </w:r>
      <w:r w:rsidRPr="000B073B">
        <w:rPr>
          <w:rFonts w:asciiTheme="majorBidi" w:hAnsiTheme="majorBidi" w:cstheme="majorBidi"/>
        </w:rPr>
        <w:t>21</w:t>
      </w:r>
      <w:r w:rsidRPr="000B073B">
        <w:rPr>
          <w:rFonts w:asciiTheme="majorBidi" w:hAnsiTheme="majorBidi" w:cstheme="majorBidi"/>
          <w:smallCaps/>
        </w:rPr>
        <w:t xml:space="preserve">, </w:t>
      </w:r>
      <w:r w:rsidRPr="000B073B">
        <w:rPr>
          <w:rFonts w:asciiTheme="majorBidi" w:hAnsiTheme="majorBidi" w:cstheme="majorBidi"/>
        </w:rPr>
        <w:t>at 28 (1987).</w:t>
      </w:r>
    </w:p>
  </w:footnote>
  <w:footnote w:id="47">
    <w:p w14:paraId="09A4BF2B"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In the United States, for example, the federal constitution requires that all criminal convictions will meet this standard. </w:t>
      </w:r>
      <w:r w:rsidRPr="000B073B">
        <w:rPr>
          <w:rFonts w:asciiTheme="majorBidi" w:hAnsiTheme="majorBidi" w:cstheme="majorBidi"/>
          <w:i/>
          <w:iCs/>
        </w:rPr>
        <w:t>In Re</w:t>
      </w:r>
      <w:r w:rsidRPr="000B073B">
        <w:rPr>
          <w:rFonts w:asciiTheme="majorBidi" w:hAnsiTheme="majorBidi" w:cstheme="majorBidi"/>
        </w:rPr>
        <w:t xml:space="preserve"> </w:t>
      </w:r>
      <w:proofErr w:type="spellStart"/>
      <w:r w:rsidRPr="000B073B">
        <w:rPr>
          <w:rFonts w:asciiTheme="majorBidi" w:hAnsiTheme="majorBidi" w:cstheme="majorBidi"/>
        </w:rPr>
        <w:t>Winship</w:t>
      </w:r>
      <w:proofErr w:type="spellEnd"/>
      <w:r w:rsidRPr="000B073B">
        <w:rPr>
          <w:rFonts w:asciiTheme="majorBidi" w:hAnsiTheme="majorBidi" w:cstheme="majorBidi"/>
        </w:rPr>
        <w:t xml:space="preserve">, 397 U.S. 358, 364 (ruling that the due process clause requires that each element of the crime must be proven beyond a reasonable doubt). Generally, despite difference regarding the burden of proof between Anglo-American legal systems and civil legal systems, both apply a similar standard in criminal litigation. </w:t>
      </w:r>
      <w:r w:rsidRPr="000B073B">
        <w:rPr>
          <w:rFonts w:asciiTheme="majorBidi" w:hAnsiTheme="majorBidi" w:cstheme="majorBidi"/>
          <w:i/>
          <w:iCs/>
        </w:rPr>
        <w:t>See</w:t>
      </w:r>
      <w:r w:rsidRPr="000B073B">
        <w:rPr>
          <w:rFonts w:asciiTheme="majorBidi" w:hAnsiTheme="majorBidi" w:cstheme="majorBidi"/>
        </w:rPr>
        <w:t xml:space="preserve"> Kevin M. Clermont and Emily Sherwin, </w:t>
      </w:r>
      <w:proofErr w:type="gramStart"/>
      <w:r w:rsidRPr="000B073B">
        <w:rPr>
          <w:rFonts w:asciiTheme="majorBidi" w:hAnsiTheme="majorBidi" w:cstheme="majorBidi"/>
          <w:i/>
          <w:iCs/>
        </w:rPr>
        <w:t>A</w:t>
      </w:r>
      <w:proofErr w:type="gramEnd"/>
      <w:r w:rsidRPr="000B073B">
        <w:rPr>
          <w:rFonts w:asciiTheme="majorBidi" w:hAnsiTheme="majorBidi" w:cstheme="majorBidi"/>
          <w:i/>
          <w:iCs/>
        </w:rPr>
        <w:t xml:space="preserve"> Comparative View of Standards of Proof</w:t>
      </w:r>
      <w:r w:rsidRPr="000B073B">
        <w:rPr>
          <w:rFonts w:asciiTheme="majorBidi" w:hAnsiTheme="majorBidi" w:cstheme="majorBidi"/>
        </w:rPr>
        <w:t xml:space="preserve">, 50 </w:t>
      </w:r>
      <w:r w:rsidRPr="000B073B">
        <w:rPr>
          <w:rFonts w:asciiTheme="majorBidi" w:hAnsiTheme="majorBidi" w:cstheme="majorBidi"/>
          <w:smallCaps/>
        </w:rPr>
        <w:t>Am. J. Comp. L</w:t>
      </w:r>
      <w:r w:rsidRPr="000B073B">
        <w:rPr>
          <w:rFonts w:asciiTheme="majorBidi" w:hAnsiTheme="majorBidi" w:cstheme="majorBidi"/>
        </w:rPr>
        <w:t>. 243, 246 (2002) (noting that in actual practice “the civil law and common-law standards for criminal cases are likely equivalent”).</w:t>
      </w:r>
    </w:p>
  </w:footnote>
  <w:footnote w:id="48">
    <w:p w14:paraId="10467EE3"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In Re</w:t>
      </w:r>
      <w:r w:rsidRPr="000B073B">
        <w:rPr>
          <w:rFonts w:asciiTheme="majorBidi" w:hAnsiTheme="majorBidi" w:cstheme="majorBidi"/>
        </w:rPr>
        <w:t xml:space="preserve"> </w:t>
      </w:r>
      <w:proofErr w:type="spellStart"/>
      <w:r w:rsidRPr="000B073B">
        <w:rPr>
          <w:rFonts w:asciiTheme="majorBidi" w:hAnsiTheme="majorBidi" w:cstheme="majorBidi"/>
        </w:rPr>
        <w:t>Winship</w:t>
      </w:r>
      <w:proofErr w:type="spellEnd"/>
      <w:r w:rsidRPr="000B073B">
        <w:rPr>
          <w:rFonts w:asciiTheme="majorBidi" w:hAnsiTheme="majorBidi" w:cstheme="majorBidi"/>
        </w:rPr>
        <w:t>, 397 U.S. at 364.</w:t>
      </w:r>
    </w:p>
  </w:footnote>
  <w:footnote w:id="49">
    <w:p w14:paraId="7B7E7FA7"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James Q. Whitman, Harsh Justice: Criminal Punishment and the Widening Divide Between America and Europe</w:t>
      </w:r>
      <w:r w:rsidRPr="000B073B">
        <w:rPr>
          <w:rFonts w:asciiTheme="majorBidi" w:hAnsiTheme="majorBidi" w:cstheme="majorBidi"/>
        </w:rPr>
        <w:t>, 3-4 (2003) (reviewing the harshening of American criminal sanctions).</w:t>
      </w:r>
    </w:p>
  </w:footnote>
  <w:footnote w:id="50">
    <w:p w14:paraId="3EF41946"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 e.g</w:t>
      </w:r>
      <w:r w:rsidRPr="000B073B">
        <w:rPr>
          <w:rFonts w:asciiTheme="majorBidi" w:hAnsiTheme="majorBidi" w:cstheme="majorBidi"/>
        </w:rPr>
        <w:t xml:space="preserve">., </w:t>
      </w:r>
      <w:r w:rsidRPr="000B073B">
        <w:rPr>
          <w:rFonts w:asciiTheme="majorBidi" w:hAnsiTheme="majorBidi" w:cstheme="majorBidi"/>
          <w:smallCaps/>
        </w:rPr>
        <w:t>Wayne R. LaFave, Substantive Criminal Law 77 (</w:t>
      </w:r>
      <w:proofErr w:type="gramStart"/>
      <w:r w:rsidRPr="000B073B">
        <w:rPr>
          <w:rFonts w:asciiTheme="majorBidi" w:hAnsiTheme="majorBidi" w:cstheme="majorBidi"/>
        </w:rPr>
        <w:t>2d</w:t>
      </w:r>
      <w:proofErr w:type="gramEnd"/>
      <w:r w:rsidRPr="000B073B">
        <w:rPr>
          <w:rFonts w:asciiTheme="majorBidi" w:hAnsiTheme="majorBidi" w:cstheme="majorBidi"/>
        </w:rPr>
        <w:t xml:space="preserve"> ed., Vol. I, 2003</w:t>
      </w:r>
      <w:r w:rsidRPr="000B073B">
        <w:rPr>
          <w:rFonts w:asciiTheme="majorBidi" w:hAnsiTheme="majorBidi" w:cstheme="majorBidi"/>
          <w:smallCaps/>
        </w:rPr>
        <w:t>)</w:t>
      </w:r>
      <w:r w:rsidRPr="000B073B">
        <w:rPr>
          <w:rFonts w:asciiTheme="majorBidi" w:hAnsiTheme="majorBidi" w:cstheme="majorBidi"/>
        </w:rPr>
        <w:t xml:space="preserve"> (noting that “[</w:t>
      </w:r>
      <w:proofErr w:type="spellStart"/>
      <w:r w:rsidRPr="000B073B">
        <w:rPr>
          <w:rFonts w:asciiTheme="majorBidi" w:hAnsiTheme="majorBidi" w:cstheme="majorBidi"/>
        </w:rPr>
        <w:t>i</w:t>
      </w:r>
      <w:proofErr w:type="spellEnd"/>
      <w:r w:rsidRPr="000B073B">
        <w:rPr>
          <w:rFonts w:asciiTheme="majorBidi" w:hAnsiTheme="majorBidi" w:cstheme="majorBidi"/>
        </w:rPr>
        <w:t>]t is a basic policy of Anglo-American criminal law that . . . the prosecution has the burden of proving beyond a reasonable doubt all the facts necessary to establish the defendant’s guilt”).</w:t>
      </w:r>
    </w:p>
  </w:footnote>
  <w:footnote w:id="51">
    <w:p w14:paraId="357A6E5E"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For a discussion of the different foundations of the beyond reasonable standard see </w:t>
      </w:r>
      <w:r w:rsidRPr="000B073B">
        <w:rPr>
          <w:rFonts w:asciiTheme="majorBidi" w:hAnsiTheme="majorBidi" w:cstheme="majorBidi"/>
          <w:smallCaps/>
        </w:rPr>
        <w:t xml:space="preserve">Dix,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_Ref432024489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38</w:t>
      </w:r>
      <w:r w:rsidRPr="000B073B">
        <w:rPr>
          <w:rFonts w:asciiTheme="majorBidi" w:hAnsiTheme="majorBidi" w:cstheme="majorBidi"/>
        </w:rPr>
        <w:fldChar w:fldCharType="end"/>
      </w:r>
      <w:r w:rsidRPr="000B073B">
        <w:rPr>
          <w:rFonts w:asciiTheme="majorBidi" w:hAnsiTheme="majorBidi" w:cstheme="majorBidi"/>
        </w:rPr>
        <w:t>, at 570-572.</w:t>
      </w:r>
    </w:p>
  </w:footnote>
  <w:footnote w:id="52">
    <w:p w14:paraId="34E8E11E"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 e.g</w:t>
      </w:r>
      <w:r w:rsidRPr="000B073B">
        <w:rPr>
          <w:rFonts w:asciiTheme="majorBidi" w:hAnsiTheme="majorBidi" w:cstheme="majorBidi"/>
        </w:rPr>
        <w:t xml:space="preserve">., </w:t>
      </w:r>
      <w:r w:rsidRPr="000B073B">
        <w:rPr>
          <w:rFonts w:asciiTheme="majorBidi" w:hAnsiTheme="majorBidi" w:cstheme="majorBidi"/>
          <w:i/>
          <w:iCs/>
        </w:rPr>
        <w:t>In re</w:t>
      </w:r>
      <w:r w:rsidRPr="000B073B">
        <w:rPr>
          <w:rFonts w:asciiTheme="majorBidi" w:hAnsiTheme="majorBidi" w:cstheme="majorBidi"/>
        </w:rPr>
        <w:t xml:space="preserve"> </w:t>
      </w:r>
      <w:proofErr w:type="spellStart"/>
      <w:r w:rsidRPr="000B073B">
        <w:rPr>
          <w:rFonts w:asciiTheme="majorBidi" w:hAnsiTheme="majorBidi" w:cstheme="majorBidi"/>
        </w:rPr>
        <w:t>Winship</w:t>
      </w:r>
      <w:proofErr w:type="spellEnd"/>
      <w:r w:rsidRPr="000B073B">
        <w:rPr>
          <w:rFonts w:asciiTheme="majorBidi" w:hAnsiTheme="majorBidi" w:cstheme="majorBidi"/>
        </w:rPr>
        <w:t xml:space="preserve">, 397 U.S. at 363-64; </w:t>
      </w:r>
      <w:r w:rsidRPr="000B073B">
        <w:rPr>
          <w:rFonts w:asciiTheme="majorBidi" w:hAnsiTheme="majorBidi" w:cstheme="majorBidi"/>
          <w:smallCaps/>
        </w:rPr>
        <w:t>Richard A. Posner, Economic Analysis of Law</w:t>
      </w:r>
      <w:r w:rsidRPr="000B073B">
        <w:rPr>
          <w:rFonts w:asciiTheme="majorBidi" w:hAnsiTheme="majorBidi" w:cstheme="majorBidi"/>
        </w:rPr>
        <w:t xml:space="preserve"> 845-46 (</w:t>
      </w:r>
      <w:proofErr w:type="gramStart"/>
      <w:r w:rsidRPr="000B073B">
        <w:rPr>
          <w:rFonts w:asciiTheme="majorBidi" w:hAnsiTheme="majorBidi" w:cstheme="majorBidi"/>
        </w:rPr>
        <w:t>9th</w:t>
      </w:r>
      <w:proofErr w:type="gramEnd"/>
      <w:r w:rsidRPr="000B073B">
        <w:rPr>
          <w:rFonts w:asciiTheme="majorBidi" w:hAnsiTheme="majorBidi" w:cstheme="majorBidi"/>
        </w:rPr>
        <w:t xml:space="preserve"> ed., 2014).</w:t>
      </w:r>
    </w:p>
  </w:footnote>
  <w:footnote w:id="53">
    <w:p w14:paraId="651114FC"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smallCaps/>
        </w:rPr>
        <w:t xml:space="preserve">Dix,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_Ref432024489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38</w:t>
      </w:r>
      <w:r w:rsidRPr="000B073B">
        <w:rPr>
          <w:rFonts w:asciiTheme="majorBidi" w:hAnsiTheme="majorBidi" w:cstheme="majorBidi"/>
        </w:rPr>
        <w:fldChar w:fldCharType="end"/>
      </w:r>
      <w:r w:rsidRPr="000B073B">
        <w:rPr>
          <w:rFonts w:asciiTheme="majorBidi" w:hAnsiTheme="majorBidi" w:cstheme="majorBidi"/>
        </w:rPr>
        <w:t xml:space="preserve"> at 570. </w:t>
      </w:r>
    </w:p>
  </w:footnote>
  <w:footnote w:id="54">
    <w:p w14:paraId="5B5F06A0"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 xml:space="preserve">In re </w:t>
      </w:r>
      <w:proofErr w:type="spellStart"/>
      <w:r w:rsidRPr="000B073B">
        <w:rPr>
          <w:rFonts w:asciiTheme="majorBidi" w:hAnsiTheme="majorBidi" w:cstheme="majorBidi"/>
        </w:rPr>
        <w:t>Winship</w:t>
      </w:r>
      <w:proofErr w:type="spellEnd"/>
      <w:r w:rsidRPr="000B073B">
        <w:rPr>
          <w:rFonts w:asciiTheme="majorBidi" w:hAnsiTheme="majorBidi" w:cstheme="majorBidi"/>
        </w:rPr>
        <w:t>, 397 U.S. at 371</w:t>
      </w:r>
      <w:proofErr w:type="gramStart"/>
      <w:r w:rsidRPr="000B073B">
        <w:rPr>
          <w:rFonts w:asciiTheme="majorBidi" w:hAnsiTheme="majorBidi" w:cstheme="majorBidi"/>
        </w:rPr>
        <w:t>;</w:t>
      </w:r>
      <w:proofErr w:type="gramEnd"/>
      <w:r w:rsidRPr="000B073B">
        <w:rPr>
          <w:rFonts w:asciiTheme="majorBidi" w:hAnsiTheme="majorBidi" w:cstheme="majorBidi"/>
        </w:rPr>
        <w:t xml:space="preserve"> </w:t>
      </w:r>
      <w:r w:rsidRPr="000B073B">
        <w:rPr>
          <w:rFonts w:asciiTheme="majorBidi" w:hAnsiTheme="majorBidi" w:cstheme="majorBidi"/>
          <w:smallCaps/>
        </w:rPr>
        <w:t>Posner</w:t>
      </w:r>
      <w:r w:rsidRPr="000B073B">
        <w:rPr>
          <w:rFonts w:asciiTheme="majorBidi" w:hAnsiTheme="majorBidi" w:cstheme="majorBidi"/>
        </w:rPr>
        <w:t xml:space="preserve">, </w:t>
      </w:r>
      <w:r w:rsidRPr="000B073B">
        <w:rPr>
          <w:rFonts w:asciiTheme="majorBidi" w:hAnsiTheme="majorBidi" w:cstheme="majorBidi"/>
          <w:i/>
          <w:iCs/>
        </w:rPr>
        <w:t xml:space="preserve">supra </w:t>
      </w:r>
      <w:r w:rsidRPr="000B073B">
        <w:rPr>
          <w:rFonts w:asciiTheme="majorBidi" w:hAnsiTheme="majorBidi" w:cstheme="majorBidi"/>
        </w:rPr>
        <w:t xml:space="preserve">note </w:t>
      </w:r>
      <w:r w:rsidRPr="000B073B">
        <w:rPr>
          <w:rFonts w:asciiTheme="majorBidi" w:hAnsiTheme="majorBidi" w:cstheme="majorBidi"/>
        </w:rPr>
        <w:fldChar w:fldCharType="begin"/>
      </w:r>
      <w:r w:rsidRPr="000B073B">
        <w:rPr>
          <w:rFonts w:asciiTheme="majorBidi" w:hAnsiTheme="majorBidi" w:cstheme="majorBidi"/>
        </w:rPr>
        <w:instrText xml:space="preserve"> NOTEREF _Ref438724775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47</w:t>
      </w:r>
      <w:r w:rsidRPr="000B073B">
        <w:rPr>
          <w:rFonts w:asciiTheme="majorBidi" w:hAnsiTheme="majorBidi" w:cstheme="majorBidi"/>
        </w:rPr>
        <w:fldChar w:fldCharType="end"/>
      </w:r>
      <w:r w:rsidRPr="000B073B">
        <w:rPr>
          <w:rFonts w:asciiTheme="majorBidi" w:hAnsiTheme="majorBidi" w:cstheme="majorBidi"/>
        </w:rPr>
        <w:t>, at 844-45.</w:t>
      </w:r>
    </w:p>
  </w:footnote>
  <w:footnote w:id="55">
    <w:p w14:paraId="678E045C" w14:textId="77777777" w:rsidR="0095491D" w:rsidRPr="000B073B" w:rsidRDefault="0095491D" w:rsidP="00AF3030">
      <w:pPr>
        <w:pStyle w:val="BodyTextIndent"/>
        <w:ind w:left="0" w:right="26"/>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sz w:val="20"/>
          <w:szCs w:val="20"/>
        </w:rPr>
        <w:t xml:space="preserve">Richard Posner, </w:t>
      </w:r>
      <w:proofErr w:type="gramStart"/>
      <w:r w:rsidRPr="000B073B">
        <w:rPr>
          <w:rFonts w:asciiTheme="majorBidi" w:hAnsiTheme="majorBidi" w:cstheme="majorBidi"/>
          <w:i/>
          <w:iCs/>
          <w:sz w:val="20"/>
          <w:szCs w:val="20"/>
        </w:rPr>
        <w:t>An</w:t>
      </w:r>
      <w:proofErr w:type="gramEnd"/>
      <w:r w:rsidRPr="000B073B">
        <w:rPr>
          <w:rFonts w:asciiTheme="majorBidi" w:hAnsiTheme="majorBidi" w:cstheme="majorBidi"/>
          <w:i/>
          <w:iCs/>
          <w:sz w:val="20"/>
          <w:szCs w:val="20"/>
        </w:rPr>
        <w:t xml:space="preserve"> Economic Approach to the Law of Evidence</w:t>
      </w:r>
      <w:r w:rsidRPr="000B073B">
        <w:rPr>
          <w:rFonts w:asciiTheme="majorBidi" w:hAnsiTheme="majorBidi" w:cstheme="majorBidi"/>
          <w:sz w:val="20"/>
          <w:szCs w:val="20"/>
        </w:rPr>
        <w:t xml:space="preserve">, 51 </w:t>
      </w:r>
      <w:r w:rsidRPr="000B073B">
        <w:rPr>
          <w:rFonts w:asciiTheme="majorBidi" w:hAnsiTheme="majorBidi" w:cstheme="majorBidi"/>
          <w:smallCaps/>
          <w:sz w:val="20"/>
          <w:szCs w:val="20"/>
        </w:rPr>
        <w:t>Stan. L. Rev.</w:t>
      </w:r>
      <w:r w:rsidRPr="000B073B">
        <w:rPr>
          <w:rFonts w:asciiTheme="majorBidi" w:hAnsiTheme="majorBidi" w:cstheme="majorBidi"/>
          <w:sz w:val="20"/>
          <w:szCs w:val="20"/>
        </w:rPr>
        <w:t xml:space="preserve"> 1477, 1504 (1999). For an early exposition of this </w:t>
      </w:r>
      <w:proofErr w:type="gramStart"/>
      <w:r w:rsidRPr="000B073B">
        <w:rPr>
          <w:rFonts w:asciiTheme="majorBidi" w:hAnsiTheme="majorBidi" w:cstheme="majorBidi"/>
          <w:sz w:val="20"/>
          <w:szCs w:val="20"/>
        </w:rPr>
        <w:t>point</w:t>
      </w:r>
      <w:proofErr w:type="gramEnd"/>
      <w:r w:rsidRPr="000B073B">
        <w:rPr>
          <w:rFonts w:asciiTheme="majorBidi" w:hAnsiTheme="majorBidi" w:cstheme="majorBidi"/>
          <w:sz w:val="20"/>
          <w:szCs w:val="20"/>
        </w:rPr>
        <w:t xml:space="preserve"> see David Kaye, </w:t>
      </w:r>
      <w:r w:rsidRPr="000B073B">
        <w:rPr>
          <w:rFonts w:asciiTheme="majorBidi" w:hAnsiTheme="majorBidi" w:cstheme="majorBidi"/>
          <w:i/>
          <w:iCs/>
          <w:sz w:val="20"/>
          <w:szCs w:val="20"/>
        </w:rPr>
        <w:t>The Limits of the Preponderance of the Evidence Standard: Justifiably Naked Statistical Evidence and Multiple Causation</w:t>
      </w:r>
      <w:r w:rsidRPr="000B073B">
        <w:rPr>
          <w:rFonts w:asciiTheme="majorBidi" w:hAnsiTheme="majorBidi" w:cstheme="majorBidi"/>
          <w:sz w:val="20"/>
          <w:szCs w:val="20"/>
        </w:rPr>
        <w:t xml:space="preserve">, 1982 </w:t>
      </w:r>
      <w:r w:rsidRPr="000B073B">
        <w:rPr>
          <w:rFonts w:asciiTheme="majorBidi" w:hAnsiTheme="majorBidi" w:cstheme="majorBidi"/>
          <w:smallCaps/>
          <w:color w:val="000000"/>
          <w:sz w:val="20"/>
          <w:szCs w:val="20"/>
          <w:lang w:eastAsia="en-US"/>
        </w:rPr>
        <w:t xml:space="preserve">Amer. Bar. </w:t>
      </w:r>
      <w:proofErr w:type="spellStart"/>
      <w:r w:rsidRPr="000B073B">
        <w:rPr>
          <w:rFonts w:asciiTheme="majorBidi" w:hAnsiTheme="majorBidi" w:cstheme="majorBidi"/>
          <w:smallCaps/>
          <w:color w:val="000000"/>
          <w:sz w:val="20"/>
          <w:szCs w:val="20"/>
          <w:lang w:eastAsia="en-US"/>
        </w:rPr>
        <w:t>Foun</w:t>
      </w:r>
      <w:proofErr w:type="spellEnd"/>
      <w:r w:rsidRPr="000B073B">
        <w:rPr>
          <w:rFonts w:asciiTheme="majorBidi" w:hAnsiTheme="majorBidi" w:cstheme="majorBidi"/>
          <w:smallCaps/>
          <w:color w:val="000000"/>
          <w:sz w:val="20"/>
          <w:szCs w:val="20"/>
          <w:lang w:eastAsia="en-US"/>
        </w:rPr>
        <w:t xml:space="preserve">. </w:t>
      </w:r>
      <w:proofErr w:type="gramStart"/>
      <w:r w:rsidRPr="000B073B">
        <w:rPr>
          <w:rFonts w:asciiTheme="majorBidi" w:hAnsiTheme="majorBidi" w:cstheme="majorBidi"/>
          <w:smallCaps/>
          <w:color w:val="000000"/>
          <w:sz w:val="20"/>
          <w:szCs w:val="20"/>
          <w:lang w:eastAsia="en-US"/>
        </w:rPr>
        <w:t>487</w:t>
      </w:r>
      <w:proofErr w:type="gramEnd"/>
      <w:r w:rsidRPr="000B073B">
        <w:rPr>
          <w:rFonts w:asciiTheme="majorBidi" w:hAnsiTheme="majorBidi" w:cstheme="majorBidi"/>
          <w:smallCaps/>
          <w:color w:val="000000"/>
          <w:sz w:val="20"/>
          <w:szCs w:val="20"/>
          <w:lang w:eastAsia="en-US"/>
        </w:rPr>
        <w:t>, 496-500.</w:t>
      </w:r>
    </w:p>
  </w:footnote>
  <w:footnote w:id="56">
    <w:p w14:paraId="4E4A2E43"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smallCaps/>
        </w:rPr>
        <w:t xml:space="preserve"> Posner</w:t>
      </w:r>
      <w:r w:rsidRPr="000B073B">
        <w:rPr>
          <w:rFonts w:asciiTheme="majorBidi" w:hAnsiTheme="majorBidi" w:cstheme="majorBidi"/>
        </w:rPr>
        <w:t xml:space="preserve">, </w:t>
      </w:r>
      <w:r w:rsidRPr="000B073B">
        <w:rPr>
          <w:rFonts w:asciiTheme="majorBidi" w:hAnsiTheme="majorBidi" w:cstheme="majorBidi"/>
          <w:i/>
          <w:iCs/>
        </w:rPr>
        <w:t xml:space="preserve">supra </w:t>
      </w:r>
      <w:r w:rsidRPr="000B073B">
        <w:rPr>
          <w:rFonts w:asciiTheme="majorBidi" w:hAnsiTheme="majorBidi" w:cstheme="majorBidi"/>
        </w:rPr>
        <w:t xml:space="preserve">note </w:t>
      </w:r>
      <w:r w:rsidRPr="000B073B">
        <w:rPr>
          <w:rFonts w:asciiTheme="majorBidi" w:hAnsiTheme="majorBidi" w:cstheme="majorBidi"/>
        </w:rPr>
        <w:fldChar w:fldCharType="begin"/>
      </w:r>
      <w:r w:rsidRPr="000B073B">
        <w:rPr>
          <w:rFonts w:asciiTheme="majorBidi" w:hAnsiTheme="majorBidi" w:cstheme="majorBidi"/>
        </w:rPr>
        <w:instrText xml:space="preserve"> NOTEREF _Ref438724775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47</w:t>
      </w:r>
      <w:r w:rsidRPr="000B073B">
        <w:rPr>
          <w:rFonts w:asciiTheme="majorBidi" w:hAnsiTheme="majorBidi" w:cstheme="majorBidi"/>
        </w:rPr>
        <w:fldChar w:fldCharType="end"/>
      </w:r>
      <w:r w:rsidRPr="000B073B">
        <w:rPr>
          <w:rFonts w:asciiTheme="majorBidi" w:hAnsiTheme="majorBidi" w:cstheme="majorBidi"/>
        </w:rPr>
        <w:t xml:space="preserve">, at 845. </w:t>
      </w:r>
    </w:p>
  </w:footnote>
  <w:footnote w:id="57">
    <w:p w14:paraId="0EDDAF50"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Laurence Tribe, </w:t>
      </w:r>
      <w:r w:rsidRPr="000B073B">
        <w:rPr>
          <w:rFonts w:asciiTheme="majorBidi" w:hAnsiTheme="majorBidi" w:cstheme="majorBidi"/>
          <w:i/>
          <w:iCs/>
        </w:rPr>
        <w:t>Trial by Mathematics: Precision and Ritual in the Legal Process</w:t>
      </w:r>
      <w:r w:rsidRPr="000B073B">
        <w:rPr>
          <w:rFonts w:asciiTheme="majorBidi" w:hAnsiTheme="majorBidi" w:cstheme="majorBidi"/>
        </w:rPr>
        <w:t xml:space="preserve">, 84 </w:t>
      </w:r>
      <w:proofErr w:type="spellStart"/>
      <w:r w:rsidRPr="000B073B">
        <w:rPr>
          <w:rFonts w:asciiTheme="majorBidi" w:hAnsiTheme="majorBidi" w:cstheme="majorBidi"/>
          <w:smallCaps/>
          <w:color w:val="000000"/>
        </w:rPr>
        <w:t>Harv</w:t>
      </w:r>
      <w:proofErr w:type="spellEnd"/>
      <w:r w:rsidRPr="000B073B">
        <w:rPr>
          <w:rFonts w:asciiTheme="majorBidi" w:hAnsiTheme="majorBidi" w:cstheme="majorBidi"/>
          <w:smallCaps/>
          <w:color w:val="000000"/>
        </w:rPr>
        <w:t>. L. Rev</w:t>
      </w:r>
      <w:r w:rsidRPr="000B073B">
        <w:rPr>
          <w:rFonts w:asciiTheme="majorBidi" w:hAnsiTheme="majorBidi" w:cstheme="majorBidi"/>
        </w:rPr>
        <w:t xml:space="preserve">. 1329, 1372-75 (1971) (tying the standard to human dignity); </w:t>
      </w:r>
      <w:r w:rsidRPr="000B073B">
        <w:rPr>
          <w:rFonts w:asciiTheme="majorBidi" w:hAnsiTheme="majorBidi" w:cstheme="majorBidi"/>
          <w:smallCaps/>
          <w:color w:val="000000"/>
        </w:rPr>
        <w:t>Ronald Dworkin, A Matter of Principle</w:t>
      </w:r>
      <w:r w:rsidRPr="000B073B">
        <w:rPr>
          <w:rFonts w:asciiTheme="majorBidi" w:hAnsiTheme="majorBidi" w:cstheme="majorBidi"/>
        </w:rPr>
        <w:t xml:space="preserve"> 80-89 (1985); </w:t>
      </w:r>
      <w:r w:rsidRPr="000B073B">
        <w:rPr>
          <w:rFonts w:asciiTheme="majorBidi" w:hAnsiTheme="majorBidi" w:cstheme="majorBidi"/>
          <w:smallCaps/>
          <w:color w:val="000000"/>
        </w:rPr>
        <w:t xml:space="preserve">Stein, </w:t>
      </w:r>
      <w:r w:rsidRPr="000B073B">
        <w:rPr>
          <w:rFonts w:asciiTheme="majorBidi" w:hAnsiTheme="majorBidi" w:cstheme="majorBidi"/>
          <w:i/>
          <w:iCs/>
          <w:color w:val="000000"/>
        </w:rPr>
        <w:t>supra</w:t>
      </w:r>
      <w:r w:rsidRPr="000B073B">
        <w:rPr>
          <w:rFonts w:asciiTheme="majorBidi" w:hAnsiTheme="majorBidi" w:cstheme="majorBidi"/>
          <w:color w:val="000000"/>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_Ref432024888 \h  \* MERGEFORMAT </w:instrText>
      </w:r>
      <w:r w:rsidRPr="000B073B">
        <w:rPr>
          <w:rFonts w:asciiTheme="majorBidi" w:hAnsiTheme="majorBidi" w:cstheme="majorBidi"/>
        </w:rPr>
      </w:r>
      <w:r w:rsidRPr="000B073B">
        <w:rPr>
          <w:rFonts w:asciiTheme="majorBidi" w:hAnsiTheme="majorBidi" w:cstheme="majorBidi"/>
        </w:rPr>
        <w:fldChar w:fldCharType="separate"/>
      </w:r>
      <w:proofErr w:type="gramStart"/>
      <w:r w:rsidRPr="000B073B">
        <w:rPr>
          <w:rFonts w:asciiTheme="majorBidi" w:hAnsiTheme="majorBidi" w:cstheme="majorBidi"/>
        </w:rPr>
        <w:t>4</w:t>
      </w:r>
      <w:proofErr w:type="gramEnd"/>
      <w:r w:rsidRPr="000B073B">
        <w:rPr>
          <w:rFonts w:asciiTheme="majorBidi" w:hAnsiTheme="majorBidi" w:cstheme="majorBidi"/>
        </w:rPr>
        <w:fldChar w:fldCharType="end"/>
      </w:r>
      <w:r w:rsidRPr="000B073B">
        <w:rPr>
          <w:rFonts w:asciiTheme="majorBidi" w:hAnsiTheme="majorBidi" w:cstheme="majorBidi"/>
          <w:color w:val="000000"/>
        </w:rPr>
        <w:t xml:space="preserve">, at </w:t>
      </w:r>
      <w:r w:rsidRPr="000B073B">
        <w:rPr>
          <w:rFonts w:asciiTheme="majorBidi" w:hAnsiTheme="majorBidi" w:cstheme="majorBidi"/>
        </w:rPr>
        <w:t xml:space="preserve">175. </w:t>
      </w:r>
      <w:r w:rsidRPr="000B073B">
        <w:rPr>
          <w:rFonts w:asciiTheme="majorBidi" w:hAnsiTheme="majorBidi" w:cstheme="majorBidi"/>
          <w:i/>
          <w:iCs/>
        </w:rPr>
        <w:t>See also</w:t>
      </w:r>
      <w:r w:rsidRPr="000B073B">
        <w:rPr>
          <w:rFonts w:asciiTheme="majorBidi" w:hAnsiTheme="majorBidi" w:cstheme="majorBidi"/>
        </w:rPr>
        <w:t xml:space="preserve">, </w:t>
      </w:r>
      <w:proofErr w:type="spellStart"/>
      <w:r w:rsidRPr="000B073B">
        <w:rPr>
          <w:rFonts w:asciiTheme="majorBidi" w:hAnsiTheme="majorBidi" w:cstheme="majorBidi"/>
        </w:rPr>
        <w:t>Rinat</w:t>
      </w:r>
      <w:proofErr w:type="spellEnd"/>
      <w:r w:rsidRPr="000B073B">
        <w:rPr>
          <w:rFonts w:asciiTheme="majorBidi" w:hAnsiTheme="majorBidi" w:cstheme="majorBidi"/>
        </w:rPr>
        <w:t xml:space="preserve"> </w:t>
      </w:r>
      <w:proofErr w:type="spellStart"/>
      <w:r w:rsidRPr="000B073B">
        <w:rPr>
          <w:rFonts w:asciiTheme="majorBidi" w:hAnsiTheme="majorBidi" w:cstheme="majorBidi"/>
        </w:rPr>
        <w:t>Kitai</w:t>
      </w:r>
      <w:proofErr w:type="spellEnd"/>
      <w:r w:rsidRPr="000B073B">
        <w:rPr>
          <w:rFonts w:asciiTheme="majorBidi" w:hAnsiTheme="majorBidi" w:cstheme="majorBidi"/>
        </w:rPr>
        <w:t>,</w:t>
      </w:r>
      <w:r w:rsidRPr="000B073B">
        <w:rPr>
          <w:rFonts w:asciiTheme="majorBidi" w:hAnsiTheme="majorBidi" w:cstheme="majorBidi"/>
          <w:rtl/>
        </w:rPr>
        <w:t xml:space="preserve"> </w:t>
      </w:r>
      <w:r w:rsidRPr="000B073B">
        <w:rPr>
          <w:rFonts w:asciiTheme="majorBidi" w:hAnsiTheme="majorBidi" w:cstheme="majorBidi"/>
          <w:i/>
          <w:iCs/>
        </w:rPr>
        <w:t>Protecting</w:t>
      </w:r>
      <w:r w:rsidRPr="000B073B">
        <w:rPr>
          <w:rFonts w:asciiTheme="majorBidi" w:hAnsiTheme="majorBidi" w:cstheme="majorBidi"/>
          <w:i/>
          <w:iCs/>
          <w:rtl/>
        </w:rPr>
        <w:t xml:space="preserve"> </w:t>
      </w:r>
      <w:r w:rsidRPr="000B073B">
        <w:rPr>
          <w:rFonts w:asciiTheme="majorBidi" w:hAnsiTheme="majorBidi" w:cstheme="majorBidi"/>
          <w:i/>
          <w:iCs/>
        </w:rPr>
        <w:t>the</w:t>
      </w:r>
      <w:r w:rsidRPr="000B073B">
        <w:rPr>
          <w:rFonts w:asciiTheme="majorBidi" w:hAnsiTheme="majorBidi" w:cstheme="majorBidi"/>
          <w:i/>
          <w:iCs/>
          <w:rtl/>
        </w:rPr>
        <w:t xml:space="preserve"> </w:t>
      </w:r>
      <w:r w:rsidRPr="000B073B">
        <w:rPr>
          <w:rFonts w:asciiTheme="majorBidi" w:hAnsiTheme="majorBidi" w:cstheme="majorBidi"/>
          <w:i/>
          <w:iCs/>
        </w:rPr>
        <w:t>Guilty</w:t>
      </w:r>
      <w:r w:rsidRPr="000B073B">
        <w:rPr>
          <w:rFonts w:asciiTheme="majorBidi" w:hAnsiTheme="majorBidi" w:cstheme="majorBidi"/>
        </w:rPr>
        <w:t>,</w:t>
      </w:r>
      <w:r w:rsidRPr="000B073B">
        <w:rPr>
          <w:rFonts w:asciiTheme="majorBidi" w:hAnsiTheme="majorBidi" w:cstheme="majorBidi"/>
          <w:rtl/>
        </w:rPr>
        <w:t xml:space="preserve"> </w:t>
      </w:r>
      <w:r w:rsidRPr="000B073B">
        <w:rPr>
          <w:rFonts w:asciiTheme="majorBidi" w:hAnsiTheme="majorBidi" w:cstheme="majorBidi"/>
          <w:smallCaps/>
          <w:color w:val="000000"/>
        </w:rPr>
        <w:t>6 Buff. Crim. L. Rev</w:t>
      </w:r>
      <w:r w:rsidRPr="000B073B">
        <w:rPr>
          <w:rFonts w:asciiTheme="majorBidi" w:hAnsiTheme="majorBidi" w:cstheme="majorBidi"/>
        </w:rPr>
        <w:t>.</w:t>
      </w:r>
      <w:r w:rsidRPr="000B073B">
        <w:rPr>
          <w:rFonts w:asciiTheme="majorBidi" w:hAnsiTheme="majorBidi" w:cstheme="majorBidi"/>
          <w:i/>
          <w:iCs/>
          <w:rtl/>
        </w:rPr>
        <w:t xml:space="preserve"> </w:t>
      </w:r>
      <w:r w:rsidRPr="000B073B">
        <w:rPr>
          <w:rFonts w:asciiTheme="majorBidi" w:hAnsiTheme="majorBidi" w:cstheme="majorBidi"/>
        </w:rPr>
        <w:t>1163,</w:t>
      </w:r>
      <w:r w:rsidRPr="000B073B">
        <w:rPr>
          <w:rFonts w:asciiTheme="majorBidi" w:hAnsiTheme="majorBidi" w:cstheme="majorBidi"/>
          <w:rtl/>
        </w:rPr>
        <w:t xml:space="preserve"> </w:t>
      </w:r>
      <w:r w:rsidRPr="000B073B">
        <w:rPr>
          <w:rFonts w:asciiTheme="majorBidi" w:hAnsiTheme="majorBidi" w:cstheme="majorBidi"/>
        </w:rPr>
        <w:t>1165</w:t>
      </w:r>
      <w:r w:rsidRPr="000B073B">
        <w:rPr>
          <w:rFonts w:asciiTheme="majorBidi" w:hAnsiTheme="majorBidi" w:cstheme="majorBidi"/>
          <w:rtl/>
        </w:rPr>
        <w:t xml:space="preserve"> </w:t>
      </w:r>
      <w:r w:rsidRPr="000B073B">
        <w:rPr>
          <w:rFonts w:asciiTheme="majorBidi" w:hAnsiTheme="majorBidi" w:cstheme="majorBidi"/>
        </w:rPr>
        <w:t xml:space="preserve">(2003) (tying the standard to the concept of a social contract); Alec D. Walen, </w:t>
      </w:r>
      <w:r w:rsidRPr="000B073B">
        <w:rPr>
          <w:rFonts w:asciiTheme="majorBidi" w:hAnsiTheme="majorBidi" w:cstheme="majorBidi"/>
          <w:i/>
          <w:iCs/>
        </w:rPr>
        <w:t xml:space="preserve">Proof </w:t>
      </w:r>
      <w:proofErr w:type="gramStart"/>
      <w:r w:rsidRPr="000B073B">
        <w:rPr>
          <w:rFonts w:asciiTheme="majorBidi" w:hAnsiTheme="majorBidi" w:cstheme="majorBidi"/>
          <w:i/>
          <w:iCs/>
        </w:rPr>
        <w:t>Beyond</w:t>
      </w:r>
      <w:proofErr w:type="gramEnd"/>
      <w:r w:rsidRPr="000B073B">
        <w:rPr>
          <w:rFonts w:asciiTheme="majorBidi" w:hAnsiTheme="majorBidi" w:cstheme="majorBidi"/>
          <w:i/>
          <w:iCs/>
        </w:rPr>
        <w:t xml:space="preserve"> a Reasonable Doubt: A Balanced Retributive Account</w:t>
      </w:r>
      <w:r w:rsidRPr="000B073B">
        <w:rPr>
          <w:rFonts w:asciiTheme="majorBidi" w:hAnsiTheme="majorBidi" w:cstheme="majorBidi"/>
        </w:rPr>
        <w:t xml:space="preserve">, 76 </w:t>
      </w:r>
      <w:r w:rsidRPr="000B073B">
        <w:rPr>
          <w:rFonts w:asciiTheme="majorBidi" w:hAnsiTheme="majorBidi" w:cstheme="majorBidi"/>
          <w:smallCaps/>
          <w:color w:val="000000"/>
        </w:rPr>
        <w:t>La. L. Rev</w:t>
      </w:r>
      <w:r w:rsidRPr="000B073B">
        <w:rPr>
          <w:rFonts w:asciiTheme="majorBidi" w:hAnsiTheme="majorBidi" w:cstheme="majorBidi"/>
        </w:rPr>
        <w:t>. 355, 426-34 (presenting a retributive argument in favor of the standard).</w:t>
      </w:r>
    </w:p>
  </w:footnote>
  <w:footnote w:id="58">
    <w:p w14:paraId="699B43E9"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proofErr w:type="gramStart"/>
      <w:r w:rsidRPr="000B073B">
        <w:rPr>
          <w:rFonts w:asciiTheme="majorBidi" w:hAnsiTheme="majorBidi" w:cstheme="majorBidi"/>
        </w:rPr>
        <w:t>3</w:t>
      </w:r>
      <w:proofErr w:type="gramEnd"/>
      <w:r w:rsidRPr="000B073B">
        <w:rPr>
          <w:rFonts w:asciiTheme="majorBidi" w:hAnsiTheme="majorBidi" w:cstheme="majorBidi"/>
        </w:rPr>
        <w:t xml:space="preserve"> </w:t>
      </w:r>
      <w:r w:rsidRPr="000B073B">
        <w:rPr>
          <w:rFonts w:asciiTheme="majorBidi" w:hAnsiTheme="majorBidi" w:cstheme="majorBidi"/>
          <w:smallCaps/>
        </w:rPr>
        <w:t>Antony Duff et al., The Trial on Trial</w:t>
      </w:r>
      <w:r w:rsidRPr="000B073B">
        <w:rPr>
          <w:rFonts w:asciiTheme="majorBidi" w:hAnsiTheme="majorBidi" w:cstheme="majorBidi"/>
        </w:rPr>
        <w:t xml:space="preserve"> 89-90 (2007). </w:t>
      </w:r>
    </w:p>
  </w:footnote>
  <w:footnote w:id="59">
    <w:p w14:paraId="04893629"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For some contributions to this body of work see, for example, Daniel Epps, </w:t>
      </w:r>
      <w:r w:rsidRPr="000B073B">
        <w:rPr>
          <w:rFonts w:asciiTheme="majorBidi" w:hAnsiTheme="majorBidi" w:cstheme="majorBidi"/>
          <w:i/>
          <w:iCs/>
        </w:rPr>
        <w:t>The Consequences of Error in Criminal Justice</w:t>
      </w:r>
      <w:r w:rsidRPr="000B073B">
        <w:rPr>
          <w:rFonts w:asciiTheme="majorBidi" w:hAnsiTheme="majorBidi" w:cstheme="majorBidi"/>
        </w:rPr>
        <w:t xml:space="preserve">, 128 </w:t>
      </w:r>
      <w:proofErr w:type="spellStart"/>
      <w:r w:rsidRPr="000B073B">
        <w:rPr>
          <w:rFonts w:asciiTheme="majorBidi" w:hAnsiTheme="majorBidi" w:cstheme="majorBidi"/>
          <w:smallCaps/>
        </w:rPr>
        <w:t>Harv</w:t>
      </w:r>
      <w:proofErr w:type="spellEnd"/>
      <w:r w:rsidRPr="000B073B">
        <w:rPr>
          <w:rFonts w:asciiTheme="majorBidi" w:hAnsiTheme="majorBidi" w:cstheme="majorBidi"/>
          <w:smallCaps/>
        </w:rPr>
        <w:t>. L. Rev</w:t>
      </w:r>
      <w:r w:rsidRPr="000B073B">
        <w:rPr>
          <w:rFonts w:asciiTheme="majorBidi" w:hAnsiTheme="majorBidi" w:cstheme="majorBidi"/>
        </w:rPr>
        <w:t xml:space="preserve">. 1065 (2015); </w:t>
      </w:r>
      <w:proofErr w:type="spellStart"/>
      <w:r w:rsidRPr="000B073B">
        <w:rPr>
          <w:rFonts w:asciiTheme="majorBidi" w:hAnsiTheme="majorBidi" w:cstheme="majorBidi"/>
        </w:rPr>
        <w:t>Laudan</w:t>
      </w:r>
      <w:proofErr w:type="spell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_Ref428397425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37</w:t>
      </w:r>
      <w:r w:rsidRPr="000B073B">
        <w:rPr>
          <w:rFonts w:asciiTheme="majorBidi" w:hAnsiTheme="majorBidi" w:cstheme="majorBidi"/>
        </w:rPr>
        <w:fldChar w:fldCharType="end"/>
      </w:r>
      <w:r w:rsidRPr="000B073B">
        <w:rPr>
          <w:rFonts w:asciiTheme="majorBidi" w:hAnsiTheme="majorBidi" w:cstheme="majorBidi"/>
        </w:rPr>
        <w:t xml:space="preserve">; Kaplow,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_Ref428281516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32</w:t>
      </w:r>
      <w:r w:rsidRPr="000B073B">
        <w:rPr>
          <w:rFonts w:asciiTheme="majorBidi" w:hAnsiTheme="majorBidi" w:cstheme="majorBidi"/>
        </w:rPr>
        <w:fldChar w:fldCharType="end"/>
      </w:r>
      <w:r w:rsidRPr="000B073B">
        <w:rPr>
          <w:rFonts w:asciiTheme="majorBidi" w:hAnsiTheme="majorBidi" w:cstheme="majorBidi"/>
        </w:rPr>
        <w:t>.</w:t>
      </w:r>
    </w:p>
  </w:footnote>
  <w:footnote w:id="60">
    <w:p w14:paraId="1EEF87AE"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Larry </w:t>
      </w:r>
      <w:proofErr w:type="spellStart"/>
      <w:r w:rsidRPr="000B073B">
        <w:rPr>
          <w:rFonts w:asciiTheme="majorBidi" w:hAnsiTheme="majorBidi" w:cstheme="majorBidi"/>
        </w:rPr>
        <w:t>Laudan</w:t>
      </w:r>
      <w:proofErr w:type="spellEnd"/>
      <w:r w:rsidRPr="000B073B">
        <w:rPr>
          <w:rFonts w:asciiTheme="majorBidi" w:hAnsiTheme="majorBidi" w:cstheme="majorBidi"/>
        </w:rPr>
        <w:t xml:space="preserve">, </w:t>
      </w:r>
      <w:r w:rsidRPr="000B073B">
        <w:rPr>
          <w:rFonts w:asciiTheme="majorBidi" w:hAnsiTheme="majorBidi" w:cstheme="majorBidi"/>
          <w:i/>
          <w:iCs/>
        </w:rPr>
        <w:t>The Rules of Trial, Political Morality, and the Costs of Error: Or, Is Proof Beyond a Reasonable Doubt Doing More Harm than Good</w:t>
      </w:r>
      <w:proofErr w:type="gramStart"/>
      <w:r w:rsidRPr="000B073B">
        <w:rPr>
          <w:rFonts w:asciiTheme="majorBidi" w:hAnsiTheme="majorBidi" w:cstheme="majorBidi"/>
          <w:i/>
          <w:iCs/>
        </w:rPr>
        <w:t>?</w:t>
      </w:r>
      <w:r w:rsidRPr="000B073B">
        <w:rPr>
          <w:rFonts w:asciiTheme="majorBidi" w:hAnsiTheme="majorBidi" w:cstheme="majorBidi"/>
        </w:rPr>
        <w:t>,</w:t>
      </w:r>
      <w:proofErr w:type="gramEnd"/>
      <w:r w:rsidRPr="000B073B">
        <w:rPr>
          <w:rFonts w:asciiTheme="majorBidi" w:hAnsiTheme="majorBidi" w:cstheme="majorBidi"/>
        </w:rPr>
        <w:t xml:space="preserve"> </w:t>
      </w:r>
      <w:r w:rsidRPr="000B073B">
        <w:rPr>
          <w:rFonts w:asciiTheme="majorBidi" w:hAnsiTheme="majorBidi" w:cstheme="majorBidi"/>
          <w:i/>
          <w:iCs/>
        </w:rPr>
        <w:t>in</w:t>
      </w:r>
      <w:r w:rsidRPr="000B073B">
        <w:rPr>
          <w:rFonts w:asciiTheme="majorBidi" w:hAnsiTheme="majorBidi" w:cstheme="majorBidi"/>
        </w:rPr>
        <w:t xml:space="preserve"> 1 </w:t>
      </w:r>
      <w:r w:rsidRPr="000B073B">
        <w:rPr>
          <w:rFonts w:asciiTheme="majorBidi" w:hAnsiTheme="majorBidi" w:cstheme="majorBidi"/>
          <w:smallCaps/>
        </w:rPr>
        <w:t>Oxford Studies in Philosophy of Law</w:t>
      </w:r>
      <w:r w:rsidRPr="000B073B">
        <w:rPr>
          <w:rFonts w:asciiTheme="majorBidi" w:hAnsiTheme="majorBidi" w:cstheme="majorBidi"/>
        </w:rPr>
        <w:t xml:space="preserve"> 195 (Leslie Green &amp; Brian Leiter eds., 2011).</w:t>
      </w:r>
    </w:p>
  </w:footnote>
  <w:footnote w:id="61">
    <w:p w14:paraId="6634EE4F"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at 202.</w:t>
      </w:r>
    </w:p>
  </w:footnote>
  <w:footnote w:id="62">
    <w:p w14:paraId="17A72D36"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xml:space="preserve">. at 206. For a careful examination of </w:t>
      </w:r>
      <w:proofErr w:type="spellStart"/>
      <w:r w:rsidRPr="000B073B">
        <w:rPr>
          <w:rFonts w:asciiTheme="majorBidi" w:hAnsiTheme="majorBidi" w:cstheme="majorBidi"/>
        </w:rPr>
        <w:t>Lauden’s</w:t>
      </w:r>
      <w:proofErr w:type="spellEnd"/>
      <w:r w:rsidRPr="000B073B">
        <w:rPr>
          <w:rFonts w:asciiTheme="majorBidi" w:hAnsiTheme="majorBidi" w:cstheme="majorBidi"/>
        </w:rPr>
        <w:t xml:space="preserve"> analysis explaining why it might both over- or under-value the costs of wrongful acquittals see Epps,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_Ref432025602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54</w:t>
      </w:r>
      <w:r w:rsidRPr="000B073B">
        <w:rPr>
          <w:rFonts w:asciiTheme="majorBidi" w:hAnsiTheme="majorBidi" w:cstheme="majorBidi"/>
        </w:rPr>
        <w:fldChar w:fldCharType="end"/>
      </w:r>
      <w:r w:rsidRPr="000B073B">
        <w:rPr>
          <w:rFonts w:asciiTheme="majorBidi" w:hAnsiTheme="majorBidi" w:cstheme="majorBidi"/>
        </w:rPr>
        <w:t xml:space="preserve">, at 1090-91. Epps nonetheless concludes that </w:t>
      </w:r>
      <w:proofErr w:type="spellStart"/>
      <w:r w:rsidRPr="000B073B">
        <w:rPr>
          <w:rFonts w:asciiTheme="majorBidi" w:hAnsiTheme="majorBidi" w:cstheme="majorBidi"/>
        </w:rPr>
        <w:t>Lauden’s</w:t>
      </w:r>
      <w:proofErr w:type="spellEnd"/>
      <w:r w:rsidRPr="000B073B">
        <w:rPr>
          <w:rFonts w:asciiTheme="majorBidi" w:hAnsiTheme="majorBidi" w:cstheme="majorBidi"/>
        </w:rPr>
        <w:t xml:space="preserve"> analysis is a useful tool in order to think about the costs of false acquittals.  </w:t>
      </w:r>
    </w:p>
  </w:footnote>
  <w:footnote w:id="63">
    <w:p w14:paraId="037E224C"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proofErr w:type="gramStart"/>
      <w:r w:rsidRPr="000B073B">
        <w:rPr>
          <w:rFonts w:asciiTheme="majorBidi" w:hAnsiTheme="majorBidi" w:cstheme="majorBidi"/>
          <w:i/>
          <w:iCs/>
        </w:rPr>
        <w:t>See</w:t>
      </w:r>
      <w:r w:rsidRPr="000B073B">
        <w:rPr>
          <w:rFonts w:asciiTheme="majorBidi" w:hAnsiTheme="majorBidi" w:cstheme="majorBidi"/>
        </w:rPr>
        <w:t xml:space="preserve"> Kaplow</w:t>
      </w:r>
      <w:proofErr w:type="gramEnd"/>
      <w:r w:rsidRPr="000B073B">
        <w:rPr>
          <w:rFonts w:asciiTheme="majorBidi" w:hAnsiTheme="majorBidi" w:cstheme="majorBidi"/>
        </w:rPr>
        <w:t xml:space="preserve">, </w:t>
      </w:r>
      <w:proofErr w:type="gramStart"/>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_Ref428281516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32</w:t>
      </w:r>
      <w:proofErr w:type="gramEnd"/>
      <w:r w:rsidRPr="000B073B">
        <w:rPr>
          <w:rFonts w:asciiTheme="majorBidi" w:hAnsiTheme="majorBidi" w:cstheme="majorBidi"/>
        </w:rPr>
        <w:fldChar w:fldCharType="end"/>
      </w:r>
      <w:r w:rsidRPr="000B073B">
        <w:rPr>
          <w:rFonts w:asciiTheme="majorBidi" w:hAnsiTheme="majorBidi" w:cstheme="majorBidi"/>
        </w:rPr>
        <w:t>.</w:t>
      </w:r>
    </w:p>
  </w:footnote>
  <w:footnote w:id="64">
    <w:p w14:paraId="18F6817F"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at 752-72.</w:t>
      </w:r>
    </w:p>
  </w:footnote>
  <w:footnote w:id="65">
    <w:p w14:paraId="43D2AE57"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at 814-29.</w:t>
      </w:r>
    </w:p>
  </w:footnote>
  <w:footnote w:id="66">
    <w:p w14:paraId="04772B35"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at 748.</w:t>
      </w:r>
    </w:p>
  </w:footnote>
  <w:footnote w:id="67">
    <w:p w14:paraId="6AC13D6F"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Moore, </w:t>
      </w:r>
      <w:r w:rsidRPr="000B073B">
        <w:rPr>
          <w:rFonts w:asciiTheme="majorBidi" w:hAnsiTheme="majorBidi" w:cstheme="majorBidi"/>
          <w:i/>
          <w:iCs/>
        </w:rPr>
        <w:t xml:space="preserve">supra </w:t>
      </w:r>
      <w:r w:rsidRPr="000B073B">
        <w:rPr>
          <w:rFonts w:asciiTheme="majorBidi" w:hAnsiTheme="majorBidi" w:cstheme="majorBidi"/>
        </w:rPr>
        <w:t xml:space="preserve">note </w:t>
      </w:r>
      <w:r w:rsidRPr="000B073B">
        <w:rPr>
          <w:rFonts w:asciiTheme="majorBidi" w:hAnsiTheme="majorBidi" w:cstheme="majorBidi"/>
        </w:rPr>
        <w:fldChar w:fldCharType="begin"/>
      </w:r>
      <w:r w:rsidRPr="000B073B">
        <w:rPr>
          <w:rFonts w:asciiTheme="majorBidi" w:hAnsiTheme="majorBidi" w:cstheme="majorBidi"/>
        </w:rPr>
        <w:instrText xml:space="preserve"> NOTEREF _Ref441398455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23</w:t>
      </w:r>
      <w:r w:rsidRPr="000B073B">
        <w:rPr>
          <w:rFonts w:asciiTheme="majorBidi" w:hAnsiTheme="majorBidi" w:cstheme="majorBidi"/>
        </w:rPr>
        <w:fldChar w:fldCharType="end"/>
      </w:r>
      <w:r w:rsidRPr="000B073B">
        <w:rPr>
          <w:rFonts w:asciiTheme="majorBidi" w:hAnsiTheme="majorBidi" w:cstheme="majorBidi"/>
        </w:rPr>
        <w:t>, at 182.</w:t>
      </w:r>
    </w:p>
  </w:footnote>
  <w:footnote w:id="68">
    <w:p w14:paraId="125EB979"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Michael S. Moore, Placing Blame: A Theory of Criminal Law</w:t>
      </w:r>
      <w:r w:rsidRPr="000B073B">
        <w:rPr>
          <w:rFonts w:asciiTheme="majorBidi" w:hAnsiTheme="majorBidi" w:cstheme="majorBidi"/>
        </w:rPr>
        <w:t xml:space="preserve"> 157 (1997).</w:t>
      </w:r>
    </w:p>
  </w:footnote>
  <w:footnote w:id="69">
    <w:p w14:paraId="56FE0AE2"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Joshua Dressler, </w:t>
      </w:r>
      <w:r w:rsidRPr="000B073B">
        <w:rPr>
          <w:rFonts w:asciiTheme="majorBidi" w:hAnsiTheme="majorBidi" w:cstheme="majorBidi"/>
          <w:i/>
          <w:iCs/>
        </w:rPr>
        <w:t>Hating Criminals: How Can Something That Feels so Good Be Wrong</w:t>
      </w:r>
      <w:proofErr w:type="gramStart"/>
      <w:r w:rsidRPr="000B073B">
        <w:rPr>
          <w:rFonts w:asciiTheme="majorBidi" w:hAnsiTheme="majorBidi" w:cstheme="majorBidi"/>
          <w:i/>
          <w:iCs/>
        </w:rPr>
        <w:t>?</w:t>
      </w:r>
      <w:r w:rsidRPr="000B073B">
        <w:rPr>
          <w:rFonts w:asciiTheme="majorBidi" w:hAnsiTheme="majorBidi" w:cstheme="majorBidi"/>
        </w:rPr>
        <w:t>,</w:t>
      </w:r>
      <w:proofErr w:type="gramEnd"/>
      <w:r w:rsidRPr="000B073B">
        <w:rPr>
          <w:rFonts w:asciiTheme="majorBidi" w:hAnsiTheme="majorBidi" w:cstheme="majorBidi"/>
        </w:rPr>
        <w:t xml:space="preserve"> 88 </w:t>
      </w:r>
      <w:r w:rsidRPr="000B073B">
        <w:rPr>
          <w:rFonts w:asciiTheme="majorBidi" w:hAnsiTheme="majorBidi" w:cstheme="majorBidi"/>
          <w:smallCaps/>
        </w:rPr>
        <w:t>Mich. L. Rev.</w:t>
      </w:r>
      <w:r w:rsidRPr="000B073B">
        <w:rPr>
          <w:rFonts w:asciiTheme="majorBidi" w:hAnsiTheme="majorBidi" w:cstheme="majorBidi"/>
        </w:rPr>
        <w:t xml:space="preserve"> 1448, 1451 (1990).</w:t>
      </w:r>
    </w:p>
  </w:footnote>
  <w:footnote w:id="70">
    <w:p w14:paraId="6AF45538" w14:textId="77777777" w:rsidR="0095491D" w:rsidRPr="000B073B" w:rsidRDefault="0095491D" w:rsidP="00AF3030">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sz w:val="20"/>
          <w:szCs w:val="20"/>
        </w:rPr>
        <w:t xml:space="preserve">Jeffrey </w:t>
      </w:r>
      <w:proofErr w:type="spellStart"/>
      <w:r w:rsidRPr="000B073B">
        <w:rPr>
          <w:rFonts w:asciiTheme="majorBidi" w:hAnsiTheme="majorBidi" w:cstheme="majorBidi"/>
          <w:sz w:val="20"/>
          <w:szCs w:val="20"/>
        </w:rPr>
        <w:t>Reiman</w:t>
      </w:r>
      <w:proofErr w:type="spellEnd"/>
      <w:r w:rsidRPr="000B073B">
        <w:rPr>
          <w:rFonts w:asciiTheme="majorBidi" w:hAnsiTheme="majorBidi" w:cstheme="majorBidi"/>
          <w:sz w:val="20"/>
          <w:szCs w:val="20"/>
        </w:rPr>
        <w:t xml:space="preserve"> &amp; Ernest van den Haag, </w:t>
      </w:r>
      <w:r w:rsidRPr="000B073B">
        <w:rPr>
          <w:rFonts w:asciiTheme="majorBidi" w:hAnsiTheme="majorBidi" w:cstheme="majorBidi"/>
          <w:i/>
          <w:iCs/>
          <w:sz w:val="20"/>
          <w:szCs w:val="20"/>
        </w:rPr>
        <w:t>On the Common Saying that It Is Better that Ten Guilty Persons Escape than that One Innocent Suffer: Pro and Con</w:t>
      </w:r>
      <w:r w:rsidRPr="000B073B">
        <w:rPr>
          <w:rFonts w:asciiTheme="majorBidi" w:hAnsiTheme="majorBidi" w:cstheme="majorBidi"/>
          <w:sz w:val="20"/>
          <w:szCs w:val="20"/>
        </w:rPr>
        <w:t xml:space="preserve">, 7 </w:t>
      </w:r>
      <w:r w:rsidRPr="000B073B">
        <w:rPr>
          <w:rFonts w:asciiTheme="majorBidi" w:hAnsiTheme="majorBidi" w:cstheme="majorBidi"/>
          <w:smallCaps/>
          <w:sz w:val="20"/>
          <w:szCs w:val="20"/>
        </w:rPr>
        <w:t xml:space="preserve">Soc. Phil. &amp; </w:t>
      </w:r>
      <w:proofErr w:type="spellStart"/>
      <w:r w:rsidRPr="000B073B">
        <w:rPr>
          <w:rFonts w:asciiTheme="majorBidi" w:hAnsiTheme="majorBidi" w:cstheme="majorBidi"/>
          <w:smallCaps/>
          <w:sz w:val="20"/>
          <w:szCs w:val="20"/>
        </w:rPr>
        <w:t>Pol’y</w:t>
      </w:r>
      <w:proofErr w:type="spellEnd"/>
      <w:r w:rsidRPr="000B073B">
        <w:rPr>
          <w:rFonts w:asciiTheme="majorBidi" w:hAnsiTheme="majorBidi" w:cstheme="majorBidi"/>
          <w:sz w:val="20"/>
          <w:szCs w:val="20"/>
        </w:rPr>
        <w:t xml:space="preserve"> 226, 242-</w:t>
      </w:r>
      <w:r w:rsidRPr="000B073B">
        <w:rPr>
          <w:rFonts w:asciiTheme="majorBidi" w:hAnsiTheme="majorBidi" w:cstheme="majorBidi"/>
          <w:sz w:val="20"/>
          <w:szCs w:val="20"/>
          <w:rtl/>
        </w:rPr>
        <w:t>43</w:t>
      </w:r>
      <w:r w:rsidRPr="000B073B">
        <w:rPr>
          <w:rFonts w:asciiTheme="majorBidi" w:hAnsiTheme="majorBidi" w:cstheme="majorBidi"/>
          <w:sz w:val="20"/>
          <w:szCs w:val="20"/>
        </w:rPr>
        <w:t xml:space="preserve"> (1990). To clarify, this article is a colloquium to which both authors contributed. The quote in the text is from a part written by van den Haag. </w:t>
      </w:r>
    </w:p>
  </w:footnote>
  <w:footnote w:id="71">
    <w:p w14:paraId="3A762C5F"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Epps,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_Ref432025602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54</w:t>
      </w:r>
      <w:r w:rsidRPr="000B073B">
        <w:rPr>
          <w:rFonts w:asciiTheme="majorBidi" w:hAnsiTheme="majorBidi" w:cstheme="majorBidi"/>
        </w:rPr>
        <w:fldChar w:fldCharType="end"/>
      </w:r>
      <w:r w:rsidRPr="000B073B">
        <w:rPr>
          <w:rFonts w:asciiTheme="majorBidi" w:hAnsiTheme="majorBidi" w:cstheme="majorBidi"/>
        </w:rPr>
        <w:t>, at 1140-42.</w:t>
      </w:r>
    </w:p>
  </w:footnote>
  <w:footnote w:id="72">
    <w:p w14:paraId="6291090F" w14:textId="77777777" w:rsidR="0095491D" w:rsidRPr="000B073B" w:rsidRDefault="0095491D" w:rsidP="00AF30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at 1142.</w:t>
      </w:r>
    </w:p>
  </w:footnote>
  <w:footnote w:id="73">
    <w:p w14:paraId="194B7EA9" w14:textId="77777777" w:rsidR="0095491D" w:rsidRPr="000B073B" w:rsidRDefault="0095491D" w:rsidP="003E51EB">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supra</w:t>
      </w:r>
      <w:r w:rsidRPr="000B073B">
        <w:rPr>
          <w:rFonts w:asciiTheme="majorBidi" w:hAnsiTheme="majorBidi" w:cstheme="majorBidi"/>
        </w:rPr>
        <w:t xml:space="preserve"> Section II.</w:t>
      </w:r>
    </w:p>
  </w:footnote>
  <w:footnote w:id="74">
    <w:p w14:paraId="0046D9C3" w14:textId="77777777" w:rsidR="0095491D" w:rsidRPr="000B073B" w:rsidRDefault="0095491D" w:rsidP="003E51E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proofErr w:type="gramStart"/>
      <w:r w:rsidRPr="000B073B">
        <w:rPr>
          <w:rFonts w:asciiTheme="majorBidi" w:hAnsiTheme="majorBidi" w:cstheme="majorBidi"/>
          <w:i/>
          <w:iCs/>
        </w:rPr>
        <w:t>But</w:t>
      </w:r>
      <w:proofErr w:type="gramEnd"/>
      <w:r w:rsidRPr="000B073B">
        <w:rPr>
          <w:rFonts w:asciiTheme="majorBidi" w:hAnsiTheme="majorBidi" w:cstheme="majorBidi"/>
          <w:i/>
          <w:iCs/>
        </w:rPr>
        <w:t xml:space="preserve"> see</w:t>
      </w:r>
      <w:r w:rsidRPr="000B073B">
        <w:rPr>
          <w:rFonts w:asciiTheme="majorBidi" w:hAnsiTheme="majorBidi" w:cstheme="majorBidi"/>
        </w:rPr>
        <w:t xml:space="preserve"> Ronald J. Allen &amp; Alex Stein, </w:t>
      </w:r>
      <w:r w:rsidRPr="000B073B">
        <w:rPr>
          <w:rFonts w:asciiTheme="majorBidi" w:hAnsiTheme="majorBidi" w:cstheme="majorBidi"/>
          <w:i/>
          <w:iCs/>
        </w:rPr>
        <w:t>Evidence, Probability and the Burden of Proof</w:t>
      </w:r>
      <w:r w:rsidRPr="000B073B">
        <w:rPr>
          <w:rFonts w:asciiTheme="majorBidi" w:hAnsiTheme="majorBidi" w:cstheme="majorBidi"/>
        </w:rPr>
        <w:t xml:space="preserve">, 54 </w:t>
      </w:r>
      <w:r w:rsidRPr="000B073B">
        <w:rPr>
          <w:rFonts w:asciiTheme="majorBidi" w:hAnsiTheme="majorBidi" w:cstheme="majorBidi"/>
          <w:smallCaps/>
        </w:rPr>
        <w:t>Ariz. L. Rev</w:t>
      </w:r>
      <w:r w:rsidRPr="000B073B">
        <w:rPr>
          <w:rFonts w:asciiTheme="majorBidi" w:hAnsiTheme="majorBidi" w:cstheme="majorBidi"/>
        </w:rPr>
        <w:t xml:space="preserve">. 557, 588-93 (2013). </w:t>
      </w:r>
    </w:p>
  </w:footnote>
  <w:footnote w:id="75">
    <w:p w14:paraId="391CC271" w14:textId="77777777" w:rsidR="0095491D" w:rsidRPr="000B073B" w:rsidRDefault="0095491D" w:rsidP="003E51E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proofErr w:type="spellStart"/>
      <w:proofErr w:type="gramStart"/>
      <w:r w:rsidRPr="000B073B">
        <w:rPr>
          <w:rFonts w:asciiTheme="majorBidi" w:hAnsiTheme="majorBidi" w:cstheme="majorBidi"/>
        </w:rPr>
        <w:t>Lauden</w:t>
      </w:r>
      <w:proofErr w:type="spellEnd"/>
      <w:r w:rsidRPr="000B073B">
        <w:rPr>
          <w:rFonts w:asciiTheme="majorBidi" w:hAnsiTheme="majorBidi" w:cstheme="majorBidi"/>
        </w:rPr>
        <w:t>,</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_Ref428454367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55</w:t>
      </w:r>
      <w:r w:rsidRPr="000B073B">
        <w:rPr>
          <w:rFonts w:asciiTheme="majorBidi" w:hAnsiTheme="majorBidi" w:cstheme="majorBidi"/>
        </w:rPr>
        <w:fldChar w:fldCharType="end"/>
      </w:r>
      <w:r w:rsidRPr="000B073B">
        <w:rPr>
          <w:rFonts w:asciiTheme="majorBidi" w:hAnsiTheme="majorBidi" w:cstheme="majorBidi"/>
        </w:rPr>
        <w:t>, at 197.</w:t>
      </w:r>
    </w:p>
  </w:footnote>
  <w:footnote w:id="76">
    <w:p w14:paraId="1F5C3029" w14:textId="77777777" w:rsidR="0095491D" w:rsidRPr="000B073B" w:rsidRDefault="0095491D" w:rsidP="003E51E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proofErr w:type="gramStart"/>
      <w:r w:rsidRPr="000B073B">
        <w:rPr>
          <w:rFonts w:asciiTheme="majorBidi" w:hAnsiTheme="majorBidi" w:cstheme="majorBidi"/>
        </w:rPr>
        <w:t>Kaplow,</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_Ref428281516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32</w:t>
      </w:r>
      <w:r w:rsidRPr="000B073B">
        <w:rPr>
          <w:rFonts w:asciiTheme="majorBidi" w:hAnsiTheme="majorBidi" w:cstheme="majorBidi"/>
        </w:rPr>
        <w:fldChar w:fldCharType="end"/>
      </w:r>
      <w:r w:rsidRPr="000B073B">
        <w:rPr>
          <w:rFonts w:asciiTheme="majorBidi" w:hAnsiTheme="majorBidi" w:cstheme="majorBidi"/>
        </w:rPr>
        <w:t>, at 752-72 (presenting the model).</w:t>
      </w:r>
    </w:p>
  </w:footnote>
  <w:footnote w:id="77">
    <w:p w14:paraId="354E5E55" w14:textId="030DF62A" w:rsidR="0095491D" w:rsidRDefault="0095491D" w:rsidP="009A6FFB">
      <w:pPr>
        <w:pStyle w:val="FootnoteText"/>
        <w:bidi w:val="0"/>
      </w:pPr>
      <w:r>
        <w:rPr>
          <w:rStyle w:val="FootnoteReference"/>
        </w:rPr>
        <w:footnoteRef/>
      </w:r>
      <w:r>
        <w:rPr>
          <w:rtl/>
        </w:rPr>
        <w:t xml:space="preserve"> </w:t>
      </w:r>
      <w:r>
        <w:t xml:space="preserve">Epps, </w:t>
      </w:r>
      <w:r w:rsidRPr="009A6FFB">
        <w:rPr>
          <w:i/>
          <w:iCs/>
        </w:rPr>
        <w:t>supra</w:t>
      </w:r>
      <w:r>
        <w:t xml:space="preserve"> note </w:t>
      </w:r>
      <w:r>
        <w:fldChar w:fldCharType="begin"/>
      </w:r>
      <w:r>
        <w:instrText xml:space="preserve"> NOTEREF _Ref432025602 \h </w:instrText>
      </w:r>
      <w:r>
        <w:fldChar w:fldCharType="separate"/>
      </w:r>
      <w:r>
        <w:t>57</w:t>
      </w:r>
      <w:r>
        <w:fldChar w:fldCharType="end"/>
      </w:r>
      <w:r>
        <w:t xml:space="preserve"> at 1143-50.</w:t>
      </w:r>
    </w:p>
  </w:footnote>
  <w:footnote w:id="78">
    <w:p w14:paraId="21D54A2E" w14:textId="77777777" w:rsidR="0095491D" w:rsidRPr="000B073B" w:rsidRDefault="0095491D" w:rsidP="006D006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 e.g.</w:t>
      </w:r>
      <w:r w:rsidRPr="000B073B">
        <w:rPr>
          <w:rFonts w:asciiTheme="majorBidi" w:hAnsiTheme="majorBidi" w:cstheme="majorBidi"/>
        </w:rPr>
        <w:t xml:space="preserve">, Guttel &amp; Teichman,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_Ref431901939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10</w:t>
      </w:r>
      <w:r w:rsidRPr="000B073B">
        <w:rPr>
          <w:rFonts w:asciiTheme="majorBidi" w:hAnsiTheme="majorBidi" w:cstheme="majorBidi"/>
        </w:rPr>
        <w:fldChar w:fldCharType="end"/>
      </w:r>
      <w:r w:rsidRPr="000B073B">
        <w:rPr>
          <w:rFonts w:asciiTheme="majorBidi" w:hAnsiTheme="majorBidi" w:cstheme="majorBidi"/>
        </w:rPr>
        <w:t>, at 609-10 (highlighting the perceived division of labor within law).</w:t>
      </w:r>
    </w:p>
  </w:footnote>
  <w:footnote w:id="79">
    <w:p w14:paraId="431E71EA" w14:textId="40B4AF6D" w:rsidR="0095491D" w:rsidRPr="00F44E11" w:rsidRDefault="0095491D" w:rsidP="009C2795">
      <w:pPr>
        <w:pStyle w:val="FootnoteText"/>
        <w:bidi w:val="0"/>
        <w:jc w:val="both"/>
        <w:rPr>
          <w:rFonts w:asciiTheme="majorBidi" w:hAnsiTheme="majorBidi" w:cstheme="majorBidi"/>
        </w:rPr>
      </w:pPr>
      <w:r w:rsidRPr="00F44E11">
        <w:rPr>
          <w:rStyle w:val="FootnoteReference"/>
          <w:rFonts w:asciiTheme="majorBidi" w:hAnsiTheme="majorBidi" w:cstheme="majorBidi"/>
        </w:rPr>
        <w:footnoteRef/>
      </w:r>
      <w:r w:rsidRPr="00F44E11">
        <w:rPr>
          <w:rFonts w:asciiTheme="majorBidi" w:hAnsiTheme="majorBidi" w:cstheme="majorBidi"/>
          <w:rtl/>
        </w:rPr>
        <w:t xml:space="preserve"> </w:t>
      </w:r>
      <w:r w:rsidR="009C2795" w:rsidRPr="009C2795">
        <w:rPr>
          <w:rFonts w:asciiTheme="majorBidi" w:hAnsiTheme="majorBidi" w:cstheme="majorBidi"/>
          <w:i/>
          <w:iCs/>
        </w:rPr>
        <w:t>S</w:t>
      </w:r>
      <w:r w:rsidRPr="009C2795">
        <w:rPr>
          <w:rFonts w:asciiTheme="majorBidi" w:hAnsiTheme="majorBidi" w:cstheme="majorBidi"/>
          <w:i/>
          <w:iCs/>
        </w:rPr>
        <w:t>ee</w:t>
      </w:r>
      <w:r>
        <w:rPr>
          <w:rFonts w:asciiTheme="majorBidi" w:hAnsiTheme="majorBidi" w:cstheme="majorBidi"/>
        </w:rPr>
        <w:t xml:space="preserve"> </w:t>
      </w:r>
      <w:r w:rsidRPr="00F44E11">
        <w:rPr>
          <w:rFonts w:asciiTheme="majorBidi" w:hAnsiTheme="majorBidi" w:cstheme="majorBidi"/>
          <w:smallCaps/>
        </w:rPr>
        <w:t xml:space="preserve">Llewellyn, </w:t>
      </w:r>
      <w:r w:rsidR="009C2795" w:rsidRPr="009C2795">
        <w:rPr>
          <w:rFonts w:asciiTheme="majorBidi" w:hAnsiTheme="majorBidi" w:cstheme="majorBidi"/>
          <w:i/>
          <w:iCs/>
        </w:rPr>
        <w:t>supra</w:t>
      </w:r>
      <w:r w:rsidR="009C2795" w:rsidRPr="009C2795">
        <w:rPr>
          <w:rFonts w:asciiTheme="majorBidi" w:hAnsiTheme="majorBidi" w:cstheme="majorBidi"/>
        </w:rPr>
        <w:t xml:space="preserve"> note </w:t>
      </w:r>
      <w:r w:rsidR="009C2795">
        <w:rPr>
          <w:rFonts w:asciiTheme="majorBidi" w:hAnsiTheme="majorBidi" w:cstheme="majorBidi"/>
        </w:rPr>
        <w:fldChar w:fldCharType="begin"/>
      </w:r>
      <w:r w:rsidR="009C2795">
        <w:rPr>
          <w:rFonts w:asciiTheme="majorBidi" w:hAnsiTheme="majorBidi" w:cstheme="majorBidi"/>
        </w:rPr>
        <w:instrText xml:space="preserve"> NOTEREF _Ref465759243 \h </w:instrText>
      </w:r>
      <w:r w:rsidR="009C2795">
        <w:rPr>
          <w:rFonts w:asciiTheme="majorBidi" w:hAnsiTheme="majorBidi" w:cstheme="majorBidi"/>
        </w:rPr>
      </w:r>
      <w:r w:rsidR="009C2795">
        <w:rPr>
          <w:rFonts w:asciiTheme="majorBidi" w:hAnsiTheme="majorBidi" w:cstheme="majorBidi"/>
        </w:rPr>
        <w:fldChar w:fldCharType="separate"/>
      </w:r>
      <w:r w:rsidR="009C2795">
        <w:rPr>
          <w:rFonts w:asciiTheme="majorBidi" w:hAnsiTheme="majorBidi" w:cstheme="majorBidi"/>
        </w:rPr>
        <w:t>14</w:t>
      </w:r>
      <w:r w:rsidR="009C2795">
        <w:rPr>
          <w:rFonts w:asciiTheme="majorBidi" w:hAnsiTheme="majorBidi" w:cstheme="majorBidi"/>
        </w:rPr>
        <w:fldChar w:fldCharType="end"/>
      </w:r>
      <w:r w:rsidR="009C2795" w:rsidRPr="009C2795">
        <w:rPr>
          <w:rFonts w:asciiTheme="majorBidi" w:hAnsiTheme="majorBidi" w:cstheme="majorBidi"/>
        </w:rPr>
        <w:t xml:space="preserve"> at </w:t>
      </w:r>
      <w:r w:rsidRPr="009C2795">
        <w:rPr>
          <w:rFonts w:asciiTheme="majorBidi" w:hAnsiTheme="majorBidi" w:cstheme="majorBidi"/>
        </w:rPr>
        <w:t>82-83</w:t>
      </w:r>
      <w:proofErr w:type="gramStart"/>
      <w:r w:rsidRPr="009C2795">
        <w:rPr>
          <w:rFonts w:asciiTheme="majorBidi" w:hAnsiTheme="majorBidi" w:cstheme="majorBidi"/>
        </w:rPr>
        <w:t>;</w:t>
      </w:r>
      <w:proofErr w:type="gramEnd"/>
      <w:r w:rsidRPr="009C2795">
        <w:rPr>
          <w:rFonts w:asciiTheme="majorBidi" w:hAnsiTheme="majorBidi" w:cstheme="majorBidi"/>
        </w:rPr>
        <w:t xml:space="preserve"> </w:t>
      </w:r>
      <w:proofErr w:type="spellStart"/>
      <w:r w:rsidRPr="009C2795">
        <w:rPr>
          <w:rFonts w:asciiTheme="majorBidi" w:hAnsiTheme="majorBidi" w:cstheme="majorBidi"/>
          <w:smallCaps/>
        </w:rPr>
        <w:t>Chamberlayne</w:t>
      </w:r>
      <w:proofErr w:type="spellEnd"/>
      <w:r w:rsidRPr="009C2795">
        <w:rPr>
          <w:rFonts w:asciiTheme="majorBidi" w:hAnsiTheme="majorBidi" w:cstheme="majorBidi"/>
        </w:rPr>
        <w:t xml:space="preserve">, </w:t>
      </w:r>
      <w:r w:rsidR="009C2795" w:rsidRPr="009C2795">
        <w:rPr>
          <w:rFonts w:asciiTheme="majorBidi" w:hAnsiTheme="majorBidi" w:cstheme="majorBidi"/>
          <w:i/>
          <w:iCs/>
        </w:rPr>
        <w:t>supra</w:t>
      </w:r>
      <w:r w:rsidR="009C2795" w:rsidRPr="009C2795">
        <w:rPr>
          <w:rFonts w:asciiTheme="majorBidi" w:hAnsiTheme="majorBidi" w:cstheme="majorBidi"/>
        </w:rPr>
        <w:t xml:space="preserve"> note </w:t>
      </w:r>
      <w:r w:rsidR="009C2795">
        <w:rPr>
          <w:rFonts w:asciiTheme="majorBidi" w:hAnsiTheme="majorBidi" w:cstheme="majorBidi"/>
        </w:rPr>
        <w:fldChar w:fldCharType="begin"/>
      </w:r>
      <w:r w:rsidR="009C2795">
        <w:rPr>
          <w:rFonts w:asciiTheme="majorBidi" w:hAnsiTheme="majorBidi" w:cstheme="majorBidi"/>
        </w:rPr>
        <w:instrText xml:space="preserve"> NOTEREF _Ref465759243 \h </w:instrText>
      </w:r>
      <w:r w:rsidR="009C2795">
        <w:rPr>
          <w:rFonts w:asciiTheme="majorBidi" w:hAnsiTheme="majorBidi" w:cstheme="majorBidi"/>
        </w:rPr>
      </w:r>
      <w:r w:rsidR="009C2795">
        <w:rPr>
          <w:rFonts w:asciiTheme="majorBidi" w:hAnsiTheme="majorBidi" w:cstheme="majorBidi"/>
        </w:rPr>
        <w:fldChar w:fldCharType="separate"/>
      </w:r>
      <w:r w:rsidR="009C2795">
        <w:rPr>
          <w:rFonts w:asciiTheme="majorBidi" w:hAnsiTheme="majorBidi" w:cstheme="majorBidi"/>
        </w:rPr>
        <w:t>14</w:t>
      </w:r>
      <w:r w:rsidR="009C2795">
        <w:rPr>
          <w:rFonts w:asciiTheme="majorBidi" w:hAnsiTheme="majorBidi" w:cstheme="majorBidi"/>
        </w:rPr>
        <w:fldChar w:fldCharType="end"/>
      </w:r>
      <w:r w:rsidR="009C2795" w:rsidRPr="009C2795">
        <w:rPr>
          <w:rFonts w:asciiTheme="majorBidi" w:hAnsiTheme="majorBidi" w:cstheme="majorBidi"/>
        </w:rPr>
        <w:t xml:space="preserve"> at </w:t>
      </w:r>
      <w:r w:rsidRPr="009C2795">
        <w:rPr>
          <w:rFonts w:asciiTheme="majorBidi" w:hAnsiTheme="majorBidi" w:cstheme="majorBidi"/>
        </w:rPr>
        <w:t>§171</w:t>
      </w:r>
      <w:r w:rsidR="009C2795" w:rsidRPr="009C2795">
        <w:rPr>
          <w:rFonts w:asciiTheme="majorBidi" w:hAnsiTheme="majorBidi" w:cstheme="majorBidi"/>
        </w:rPr>
        <w:t>.</w:t>
      </w:r>
      <w:r w:rsidRPr="00F44E11">
        <w:rPr>
          <w:rFonts w:asciiTheme="majorBidi" w:hAnsiTheme="majorBidi" w:cstheme="majorBidi"/>
        </w:rPr>
        <w:t xml:space="preserve"> </w:t>
      </w:r>
    </w:p>
  </w:footnote>
  <w:footnote w:id="80">
    <w:p w14:paraId="6C6275B7" w14:textId="0C5B63A1" w:rsidR="0095491D" w:rsidRPr="000B073B" w:rsidRDefault="0095491D" w:rsidP="00F44E11">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For a review see Eyal Zamir, Ilana Ritov &amp; Doron Teichman, </w:t>
      </w:r>
      <w:r w:rsidRPr="000B073B">
        <w:rPr>
          <w:rFonts w:asciiTheme="majorBidi" w:hAnsiTheme="majorBidi" w:cstheme="majorBidi"/>
          <w:i/>
          <w:iCs/>
        </w:rPr>
        <w:t xml:space="preserve">Seeing is </w:t>
      </w:r>
      <w:proofErr w:type="gramStart"/>
      <w:r w:rsidRPr="000B073B">
        <w:rPr>
          <w:rFonts w:asciiTheme="majorBidi" w:hAnsiTheme="majorBidi" w:cstheme="majorBidi"/>
          <w:i/>
          <w:iCs/>
        </w:rPr>
        <w:t>Believing</w:t>
      </w:r>
      <w:proofErr w:type="gramEnd"/>
      <w:r w:rsidRPr="000B073B">
        <w:rPr>
          <w:rFonts w:asciiTheme="majorBidi" w:hAnsiTheme="majorBidi" w:cstheme="majorBidi"/>
          <w:i/>
          <w:iCs/>
        </w:rPr>
        <w:t>: The Anti-Inference Bias</w:t>
      </w:r>
      <w:r w:rsidRPr="000B073B">
        <w:rPr>
          <w:rFonts w:asciiTheme="majorBidi" w:hAnsiTheme="majorBidi" w:cstheme="majorBidi"/>
        </w:rPr>
        <w:t xml:space="preserve">, 89 </w:t>
      </w:r>
      <w:r w:rsidRPr="000B073B">
        <w:rPr>
          <w:rFonts w:asciiTheme="majorBidi" w:hAnsiTheme="majorBidi" w:cstheme="majorBidi"/>
          <w:smallCaps/>
        </w:rPr>
        <w:t xml:space="preserve">Ind. L.J. </w:t>
      </w:r>
      <w:r w:rsidRPr="000B073B">
        <w:rPr>
          <w:rFonts w:asciiTheme="majorBidi" w:hAnsiTheme="majorBidi" w:cstheme="majorBidi"/>
        </w:rPr>
        <w:t xml:space="preserve">195, 225 (2014). </w:t>
      </w:r>
      <w:r>
        <w:rPr>
          <w:rFonts w:asciiTheme="majorBidi" w:hAnsiTheme="majorBidi" w:cstheme="majorBidi"/>
        </w:rPr>
        <w:t>Recent c</w:t>
      </w:r>
      <w:r w:rsidRPr="000B073B">
        <w:rPr>
          <w:rFonts w:asciiTheme="majorBidi" w:hAnsiTheme="majorBidi" w:cstheme="majorBidi"/>
        </w:rPr>
        <w:t xml:space="preserve">ontributions to this body of work include: </w:t>
      </w:r>
      <w:proofErr w:type="spellStart"/>
      <w:r w:rsidRPr="000B073B">
        <w:rPr>
          <w:rFonts w:asciiTheme="majorBidi" w:hAnsiTheme="majorBidi" w:cstheme="majorBidi"/>
        </w:rPr>
        <w:t>Bierschbach</w:t>
      </w:r>
      <w:proofErr w:type="spellEnd"/>
      <w:r w:rsidRPr="000B073B">
        <w:rPr>
          <w:rFonts w:asciiTheme="majorBidi" w:hAnsiTheme="majorBidi" w:cstheme="majorBidi"/>
        </w:rPr>
        <w:t xml:space="preserve"> &amp; Stein,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_Ref431901939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10</w:t>
      </w:r>
      <w:r w:rsidRPr="000B073B">
        <w:rPr>
          <w:rFonts w:asciiTheme="majorBidi" w:hAnsiTheme="majorBidi" w:cstheme="majorBidi"/>
        </w:rPr>
        <w:fldChar w:fldCharType="end"/>
      </w:r>
      <w:r w:rsidRPr="000B073B">
        <w:rPr>
          <w:rFonts w:asciiTheme="majorBidi" w:hAnsiTheme="majorBidi" w:cstheme="majorBidi"/>
        </w:rPr>
        <w:t xml:space="preserve">; Main,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_Ref431901939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10</w:t>
      </w:r>
      <w:r w:rsidRPr="000B073B">
        <w:rPr>
          <w:rFonts w:asciiTheme="majorBidi" w:hAnsiTheme="majorBidi" w:cstheme="majorBidi"/>
        </w:rPr>
        <w:fldChar w:fldCharType="end"/>
      </w:r>
      <w:r w:rsidRPr="000B073B">
        <w:rPr>
          <w:rFonts w:asciiTheme="majorBidi" w:hAnsiTheme="majorBidi" w:cstheme="majorBidi"/>
        </w:rPr>
        <w:t xml:space="preserve">; Stein &amp; </w:t>
      </w:r>
      <w:proofErr w:type="spellStart"/>
      <w:r w:rsidRPr="000B073B">
        <w:rPr>
          <w:rFonts w:asciiTheme="majorBidi" w:hAnsiTheme="majorBidi" w:cstheme="majorBidi"/>
        </w:rPr>
        <w:t>Parchomovsky</w:t>
      </w:r>
      <w:proofErr w:type="spell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_Ref431901939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10</w:t>
      </w:r>
      <w:r w:rsidRPr="000B073B">
        <w:rPr>
          <w:rFonts w:asciiTheme="majorBidi" w:hAnsiTheme="majorBidi" w:cstheme="majorBidi"/>
        </w:rPr>
        <w:fldChar w:fldCharType="end"/>
      </w:r>
      <w:r w:rsidRPr="000B073B">
        <w:rPr>
          <w:rFonts w:asciiTheme="majorBidi" w:hAnsiTheme="majorBidi" w:cstheme="majorBidi"/>
        </w:rPr>
        <w:t xml:space="preserve">; Guttel &amp; Teichman,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_Ref431901939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10</w:t>
      </w:r>
      <w:r w:rsidRPr="000B073B">
        <w:rPr>
          <w:rFonts w:asciiTheme="majorBidi" w:hAnsiTheme="majorBidi" w:cstheme="majorBidi"/>
        </w:rPr>
        <w:fldChar w:fldCharType="end"/>
      </w:r>
      <w:r w:rsidRPr="000B073B">
        <w:rPr>
          <w:rFonts w:asciiTheme="majorBidi" w:hAnsiTheme="majorBidi" w:cstheme="majorBidi"/>
        </w:rPr>
        <w:t xml:space="preserve">. </w:t>
      </w:r>
    </w:p>
  </w:footnote>
  <w:footnote w:id="81">
    <w:p w14:paraId="184AE36C" w14:textId="77777777" w:rsidR="0095491D" w:rsidRPr="000B073B" w:rsidRDefault="0095491D" w:rsidP="000C327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 e.g.</w:t>
      </w:r>
      <w:r w:rsidRPr="000B073B">
        <w:rPr>
          <w:rFonts w:asciiTheme="majorBidi" w:hAnsiTheme="majorBidi" w:cstheme="majorBidi"/>
        </w:rPr>
        <w:t>,</w:t>
      </w:r>
      <w:r w:rsidRPr="000B073B">
        <w:rPr>
          <w:rFonts w:asciiTheme="majorBidi" w:hAnsiTheme="majorBidi" w:cstheme="majorBidi"/>
          <w:i/>
          <w:iCs/>
        </w:rPr>
        <w:t xml:space="preserve"> </w:t>
      </w:r>
      <w:r w:rsidRPr="000B073B">
        <w:rPr>
          <w:rFonts w:asciiTheme="majorBidi" w:hAnsiTheme="majorBidi" w:cstheme="majorBidi"/>
        </w:rPr>
        <w:t xml:space="preserve">Louis Kaplow, </w:t>
      </w:r>
      <w:r w:rsidRPr="000B073B">
        <w:rPr>
          <w:rFonts w:asciiTheme="majorBidi" w:hAnsiTheme="majorBidi" w:cstheme="majorBidi"/>
          <w:i/>
          <w:iCs/>
        </w:rPr>
        <w:t xml:space="preserve">Burden of Proof, </w:t>
      </w:r>
      <w:r w:rsidRPr="000B073B">
        <w:rPr>
          <w:rFonts w:asciiTheme="majorBidi" w:hAnsiTheme="majorBidi" w:cstheme="majorBidi"/>
        </w:rPr>
        <w:t xml:space="preserve">121 </w:t>
      </w:r>
      <w:r w:rsidRPr="000B073B">
        <w:rPr>
          <w:rFonts w:asciiTheme="majorBidi" w:hAnsiTheme="majorBidi" w:cstheme="majorBidi"/>
          <w:smallCaps/>
        </w:rPr>
        <w:t>Yale L.J.</w:t>
      </w:r>
      <w:r w:rsidRPr="000B073B">
        <w:rPr>
          <w:rFonts w:asciiTheme="majorBidi" w:hAnsiTheme="majorBidi" w:cstheme="majorBidi"/>
        </w:rPr>
        <w:t xml:space="preserve"> 738, 762-72 (2012) (analyzing, </w:t>
      </w:r>
      <w:r w:rsidRPr="000B073B">
        <w:rPr>
          <w:rFonts w:asciiTheme="majorBidi" w:hAnsiTheme="majorBidi" w:cstheme="majorBidi"/>
          <w:i/>
          <w:iCs/>
        </w:rPr>
        <w:t>inter alia,</w:t>
      </w:r>
      <w:r w:rsidRPr="000B073B">
        <w:rPr>
          <w:rFonts w:asciiTheme="majorBidi" w:hAnsiTheme="majorBidi" w:cstheme="majorBidi"/>
        </w:rPr>
        <w:t xml:space="preserve"> the effect of burden of proof on primary activities); Chris William </w:t>
      </w:r>
      <w:proofErr w:type="spellStart"/>
      <w:r w:rsidRPr="000B073B">
        <w:rPr>
          <w:rFonts w:asciiTheme="majorBidi" w:hAnsiTheme="majorBidi" w:cstheme="majorBidi"/>
        </w:rPr>
        <w:t>Sanchirico</w:t>
      </w:r>
      <w:proofErr w:type="spellEnd"/>
      <w:r w:rsidRPr="000B073B">
        <w:rPr>
          <w:rFonts w:asciiTheme="majorBidi" w:hAnsiTheme="majorBidi" w:cstheme="majorBidi"/>
        </w:rPr>
        <w:t xml:space="preserve">, </w:t>
      </w:r>
      <w:r w:rsidRPr="000B073B">
        <w:rPr>
          <w:rFonts w:asciiTheme="majorBidi" w:hAnsiTheme="majorBidi" w:cstheme="majorBidi"/>
          <w:i/>
          <w:iCs/>
        </w:rPr>
        <w:t>A Primary-Activity Approach to Proof Burdens,</w:t>
      </w:r>
      <w:r w:rsidRPr="000B073B">
        <w:rPr>
          <w:rFonts w:asciiTheme="majorBidi" w:hAnsiTheme="majorBidi" w:cstheme="majorBidi"/>
        </w:rPr>
        <w:t xml:space="preserve"> 37 </w:t>
      </w:r>
      <w:r w:rsidRPr="000B073B">
        <w:rPr>
          <w:rFonts w:asciiTheme="majorBidi" w:hAnsiTheme="majorBidi" w:cstheme="majorBidi"/>
          <w:smallCaps/>
        </w:rPr>
        <w:t xml:space="preserve">J. Legal Stud. </w:t>
      </w:r>
      <w:proofErr w:type="gramStart"/>
      <w:r w:rsidRPr="000B073B">
        <w:rPr>
          <w:rFonts w:asciiTheme="majorBidi" w:hAnsiTheme="majorBidi" w:cstheme="majorBidi"/>
        </w:rPr>
        <w:t>273</w:t>
      </w:r>
      <w:proofErr w:type="gramEnd"/>
      <w:r w:rsidRPr="000B073B">
        <w:rPr>
          <w:rFonts w:asciiTheme="majorBidi" w:hAnsiTheme="majorBidi" w:cstheme="majorBidi"/>
        </w:rPr>
        <w:t>, 280-86 (2008) (same).</w:t>
      </w:r>
    </w:p>
  </w:footnote>
  <w:footnote w:id="82">
    <w:p w14:paraId="0C03561E" w14:textId="77777777" w:rsidR="0095491D" w:rsidRPr="000B073B" w:rsidRDefault="0095491D" w:rsidP="000C327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w:t>
      </w:r>
      <w:proofErr w:type="spellStart"/>
      <w:r w:rsidRPr="000B073B">
        <w:rPr>
          <w:rFonts w:asciiTheme="majorBidi" w:hAnsiTheme="majorBidi" w:cstheme="majorBidi"/>
        </w:rPr>
        <w:t>Bierschbach</w:t>
      </w:r>
      <w:proofErr w:type="spellEnd"/>
      <w:r w:rsidRPr="000B073B">
        <w:rPr>
          <w:rFonts w:asciiTheme="majorBidi" w:hAnsiTheme="majorBidi" w:cstheme="majorBidi"/>
        </w:rPr>
        <w:t xml:space="preserve"> &amp; Stein,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_Ref431901939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10</w:t>
      </w:r>
      <w:r w:rsidRPr="000B073B">
        <w:rPr>
          <w:rFonts w:asciiTheme="majorBidi" w:hAnsiTheme="majorBidi" w:cstheme="majorBidi"/>
        </w:rPr>
        <w:fldChar w:fldCharType="end"/>
      </w:r>
      <w:r w:rsidRPr="000B073B">
        <w:rPr>
          <w:rFonts w:asciiTheme="majorBidi" w:hAnsiTheme="majorBidi" w:cstheme="majorBidi"/>
        </w:rPr>
        <w:t>.</w:t>
      </w:r>
    </w:p>
  </w:footnote>
  <w:footnote w:id="83">
    <w:p w14:paraId="770B72FE" w14:textId="77777777" w:rsidR="0095491D" w:rsidRPr="000B073B" w:rsidRDefault="0095491D" w:rsidP="000C327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Stein &amp; </w:t>
      </w:r>
      <w:proofErr w:type="spellStart"/>
      <w:r w:rsidRPr="000B073B">
        <w:rPr>
          <w:rFonts w:asciiTheme="majorBidi" w:hAnsiTheme="majorBidi" w:cstheme="majorBidi"/>
        </w:rPr>
        <w:t>Parchomovsky</w:t>
      </w:r>
      <w:proofErr w:type="spell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_Ref431901939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10</w:t>
      </w:r>
      <w:r w:rsidRPr="000B073B">
        <w:rPr>
          <w:rFonts w:asciiTheme="majorBidi" w:hAnsiTheme="majorBidi" w:cstheme="majorBidi"/>
        </w:rPr>
        <w:fldChar w:fldCharType="end"/>
      </w:r>
      <w:r w:rsidRPr="000B073B">
        <w:rPr>
          <w:rFonts w:asciiTheme="majorBidi" w:hAnsiTheme="majorBidi" w:cstheme="majorBidi"/>
        </w:rPr>
        <w:t>, at 521 (</w:t>
      </w:r>
      <w:proofErr w:type="gramStart"/>
      <w:r w:rsidRPr="000B073B">
        <w:rPr>
          <w:rFonts w:asciiTheme="majorBidi" w:hAnsiTheme="majorBidi" w:cstheme="majorBidi"/>
        </w:rPr>
        <w:t>noting that</w:t>
      </w:r>
      <w:proofErr w:type="gramEnd"/>
      <w:r w:rsidRPr="000B073B">
        <w:rPr>
          <w:rFonts w:asciiTheme="majorBidi" w:hAnsiTheme="majorBidi" w:cstheme="majorBidi"/>
        </w:rPr>
        <w:t xml:space="preserve"> “rational actors will always interpret the dictates of our substantive law through an evidentiary gloss”).</w:t>
      </w:r>
    </w:p>
  </w:footnote>
  <w:footnote w:id="84">
    <w:p w14:paraId="0D478006" w14:textId="77777777" w:rsidR="0095491D" w:rsidRPr="000B073B" w:rsidRDefault="0095491D" w:rsidP="000C327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xml:space="preserve">. at 520-21. Additionally, sanctions </w:t>
      </w:r>
      <w:proofErr w:type="gramStart"/>
      <w:r w:rsidRPr="000B073B">
        <w:rPr>
          <w:rFonts w:asciiTheme="majorBidi" w:hAnsiTheme="majorBidi" w:cstheme="majorBidi"/>
        </w:rPr>
        <w:t>can be calibrated</w:t>
      </w:r>
      <w:proofErr w:type="gramEnd"/>
      <w:r w:rsidRPr="000B073B">
        <w:rPr>
          <w:rFonts w:asciiTheme="majorBidi" w:hAnsiTheme="majorBidi" w:cstheme="majorBidi"/>
        </w:rPr>
        <w:t xml:space="preserve"> in order to influence the decisions of factfinders and reduce the probability of wrongful convictions</w:t>
      </w:r>
      <w:r w:rsidRPr="000B073B">
        <w:rPr>
          <w:rFonts w:asciiTheme="majorBidi" w:hAnsiTheme="majorBidi" w:cstheme="majorBidi"/>
          <w:i/>
          <w:iCs/>
        </w:rPr>
        <w:t xml:space="preserve"> See</w:t>
      </w:r>
      <w:r w:rsidRPr="000B073B">
        <w:rPr>
          <w:rFonts w:asciiTheme="majorBidi" w:hAnsiTheme="majorBidi" w:cstheme="majorBidi"/>
        </w:rPr>
        <w:t xml:space="preserve"> Guttel &amp; Teichman,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_Ref431901939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10</w:t>
      </w:r>
      <w:r w:rsidRPr="000B073B">
        <w:rPr>
          <w:rFonts w:asciiTheme="majorBidi" w:hAnsiTheme="majorBidi" w:cstheme="majorBidi"/>
        </w:rPr>
        <w:fldChar w:fldCharType="end"/>
      </w:r>
      <w:r w:rsidRPr="000B073B">
        <w:rPr>
          <w:rFonts w:asciiTheme="majorBidi" w:hAnsiTheme="majorBidi" w:cstheme="majorBidi"/>
        </w:rPr>
        <w:t xml:space="preserve">, at 607-10. </w:t>
      </w:r>
    </w:p>
  </w:footnote>
  <w:footnote w:id="85">
    <w:p w14:paraId="1AB83DC9" w14:textId="77777777" w:rsidR="0095491D" w:rsidRPr="000B073B" w:rsidRDefault="0095491D" w:rsidP="006779F0">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sz w:val="20"/>
          <w:szCs w:val="20"/>
        </w:rPr>
        <w:t xml:space="preserve">Henrik Lando, </w:t>
      </w:r>
      <w:r w:rsidRPr="000B073B">
        <w:rPr>
          <w:rFonts w:asciiTheme="majorBidi" w:hAnsiTheme="majorBidi" w:cstheme="majorBidi"/>
          <w:i/>
          <w:iCs/>
          <w:sz w:val="20"/>
          <w:szCs w:val="20"/>
        </w:rPr>
        <w:t>The Size of the Sanction Should Depend on the Weight of the Evidence</w:t>
      </w:r>
      <w:r w:rsidRPr="000B073B">
        <w:rPr>
          <w:rFonts w:asciiTheme="majorBidi" w:hAnsiTheme="majorBidi" w:cstheme="majorBidi"/>
          <w:sz w:val="20"/>
          <w:szCs w:val="20"/>
        </w:rPr>
        <w:t xml:space="preserve">, 1 </w:t>
      </w:r>
      <w:r w:rsidRPr="000B073B">
        <w:rPr>
          <w:rFonts w:asciiTheme="majorBidi" w:hAnsiTheme="majorBidi" w:cstheme="majorBidi"/>
          <w:smallCaps/>
          <w:sz w:val="20"/>
          <w:szCs w:val="20"/>
        </w:rPr>
        <w:t xml:space="preserve">Rev. L. &amp; Econ. </w:t>
      </w:r>
      <w:proofErr w:type="gramStart"/>
      <w:r w:rsidRPr="000B073B">
        <w:rPr>
          <w:rFonts w:asciiTheme="majorBidi" w:hAnsiTheme="majorBidi" w:cstheme="majorBidi"/>
          <w:sz w:val="20"/>
          <w:szCs w:val="20"/>
        </w:rPr>
        <w:t>277</w:t>
      </w:r>
      <w:proofErr w:type="gramEnd"/>
      <w:r w:rsidRPr="000B073B">
        <w:rPr>
          <w:rFonts w:asciiTheme="majorBidi" w:hAnsiTheme="majorBidi" w:cstheme="majorBidi"/>
          <w:sz w:val="20"/>
          <w:szCs w:val="20"/>
        </w:rPr>
        <w:t xml:space="preserve"> (2005).</w:t>
      </w:r>
    </w:p>
  </w:footnote>
  <w:footnote w:id="86">
    <w:p w14:paraId="29270BE8"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A simple numeric might help clarify the point. Assume that there are two types of defendants with respect to the degree of certainty associated with their case: Type A for whom guilt is proven to a degree of 95% and Type B for whom guilt is only proven to a degree of 90%, and that each defendant is equally likely to be one of these types. </w:t>
      </w:r>
      <w:proofErr w:type="gramStart"/>
      <w:r w:rsidRPr="000B073B">
        <w:rPr>
          <w:rFonts w:asciiTheme="majorBidi" w:hAnsiTheme="majorBidi" w:cstheme="majorBidi"/>
        </w:rPr>
        <w:t>Assuming the total amount of sanctions is ten years of incarceration, then the expected sanction generated by distributing punishment equally between two defendants is 4.625 (0.5 X 5 X 0.95 + 0.5 X 5 X 0.90), while distributing in a 7:3 ratio towards Type A defendants can increase the expected sanction to 4.675 at no cost (0.5 X 7 X 0.95 + 0.5 X 3 X 0.90).</w:t>
      </w:r>
      <w:proofErr w:type="gramEnd"/>
    </w:p>
  </w:footnote>
  <w:footnote w:id="87">
    <w:p w14:paraId="5A008C7C"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Talia Fisher, </w:t>
      </w:r>
      <w:r w:rsidRPr="000B073B">
        <w:rPr>
          <w:rFonts w:asciiTheme="majorBidi" w:hAnsiTheme="majorBidi" w:cstheme="majorBidi"/>
          <w:i/>
          <w:iCs/>
        </w:rPr>
        <w:t>Constitutionalism and the Criminal Law: Rethinking Criminal Trial Bifurcation</w:t>
      </w:r>
      <w:r w:rsidRPr="000B073B">
        <w:rPr>
          <w:rFonts w:asciiTheme="majorBidi" w:hAnsiTheme="majorBidi" w:cstheme="majorBidi"/>
        </w:rPr>
        <w:t xml:space="preserve">, 61 </w:t>
      </w:r>
      <w:r w:rsidRPr="000B073B">
        <w:rPr>
          <w:rFonts w:asciiTheme="majorBidi" w:hAnsiTheme="majorBidi" w:cstheme="majorBidi"/>
          <w:smallCaps/>
        </w:rPr>
        <w:t>U. Toronto L.J.</w:t>
      </w:r>
      <w:r w:rsidRPr="000B073B">
        <w:rPr>
          <w:rFonts w:asciiTheme="majorBidi" w:hAnsiTheme="majorBidi" w:cstheme="majorBidi"/>
        </w:rPr>
        <w:t xml:space="preserve"> 811, 822 (2011).</w:t>
      </w:r>
    </w:p>
  </w:footnote>
  <w:footnote w:id="88">
    <w:p w14:paraId="621A5CA4"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In terms of the preceding </w:t>
      </w:r>
      <w:proofErr w:type="gramStart"/>
      <w:r w:rsidRPr="000B073B">
        <w:rPr>
          <w:rFonts w:asciiTheme="majorBidi" w:hAnsiTheme="majorBidi" w:cstheme="majorBidi"/>
        </w:rPr>
        <w:t>example</w:t>
      </w:r>
      <w:proofErr w:type="gramEnd"/>
      <w:r w:rsidRPr="000B073B">
        <w:rPr>
          <w:rFonts w:asciiTheme="majorBidi" w:hAnsiTheme="majorBidi" w:cstheme="majorBidi"/>
        </w:rPr>
        <w:t xml:space="preserve"> this implies directing all sanctioning resources towards Type A defendants. Such a regime would further elevate the expected sanction to 4.75 (0.5 X 10 X 0.95 + 0.5 X 0 X 0.90). </w:t>
      </w:r>
      <w:r w:rsidRPr="000B073B">
        <w:rPr>
          <w:rFonts w:asciiTheme="majorBidi" w:hAnsiTheme="majorBidi" w:cstheme="majorBidi"/>
          <w:i/>
          <w:iCs/>
        </w:rPr>
        <w:t>See</w:t>
      </w:r>
      <w:r w:rsidRPr="000B073B">
        <w:rPr>
          <w:rFonts w:asciiTheme="majorBidi" w:hAnsiTheme="majorBidi" w:cstheme="majorBidi"/>
        </w:rPr>
        <w:t xml:space="preserve"> Fisher, </w:t>
      </w:r>
      <w:r w:rsidRPr="000B073B">
        <w:rPr>
          <w:rFonts w:asciiTheme="majorBidi" w:hAnsiTheme="majorBidi" w:cstheme="majorBidi"/>
          <w:i/>
          <w:iCs/>
        </w:rPr>
        <w:t>id</w:t>
      </w:r>
      <w:r w:rsidRPr="000B073B">
        <w:rPr>
          <w:rFonts w:asciiTheme="majorBidi" w:hAnsiTheme="majorBidi" w:cstheme="majorBidi"/>
        </w:rPr>
        <w:t>.</w:t>
      </w:r>
    </w:p>
  </w:footnote>
  <w:footnote w:id="89">
    <w:p w14:paraId="2860F97D" w14:textId="77777777" w:rsidR="0095491D" w:rsidRPr="000B073B" w:rsidRDefault="0095491D" w:rsidP="006779F0">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i/>
          <w:iCs/>
          <w:sz w:val="20"/>
          <w:szCs w:val="20"/>
        </w:rPr>
        <w:t>See</w:t>
      </w:r>
      <w:r w:rsidRPr="000B073B">
        <w:rPr>
          <w:rFonts w:asciiTheme="majorBidi" w:hAnsiTheme="majorBidi" w:cstheme="majorBidi"/>
          <w:sz w:val="20"/>
          <w:szCs w:val="20"/>
        </w:rPr>
        <w:t xml:space="preserve"> Fisher, </w:t>
      </w:r>
      <w:r w:rsidRPr="000B073B">
        <w:rPr>
          <w:rFonts w:asciiTheme="majorBidi" w:hAnsiTheme="majorBidi" w:cstheme="majorBidi"/>
          <w:i/>
          <w:iCs/>
          <w:sz w:val="20"/>
          <w:szCs w:val="20"/>
        </w:rPr>
        <w:t>id</w:t>
      </w:r>
      <w:r w:rsidRPr="000B073B">
        <w:rPr>
          <w:rFonts w:asciiTheme="majorBidi" w:hAnsiTheme="majorBidi" w:cstheme="majorBidi"/>
          <w:sz w:val="20"/>
          <w:szCs w:val="20"/>
        </w:rPr>
        <w:t xml:space="preserve">. </w:t>
      </w:r>
      <w:proofErr w:type="gramStart"/>
      <w:r w:rsidRPr="000B073B">
        <w:rPr>
          <w:rFonts w:asciiTheme="majorBidi" w:hAnsiTheme="majorBidi" w:cstheme="majorBidi"/>
          <w:sz w:val="20"/>
          <w:szCs w:val="20"/>
        </w:rPr>
        <w:t>at</w:t>
      </w:r>
      <w:proofErr w:type="gramEnd"/>
      <w:r w:rsidRPr="000B073B">
        <w:rPr>
          <w:rFonts w:asciiTheme="majorBidi" w:hAnsiTheme="majorBidi" w:cstheme="majorBidi"/>
          <w:sz w:val="20"/>
          <w:szCs w:val="20"/>
        </w:rPr>
        <w:t xml:space="preserve"> 819–30.</w:t>
      </w:r>
    </w:p>
  </w:footnote>
  <w:footnote w:id="90">
    <w:p w14:paraId="2B4FF831" w14:textId="77777777" w:rsidR="0095491D" w:rsidRPr="000B073B" w:rsidRDefault="0095491D" w:rsidP="00DB0676">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w:t>
      </w:r>
    </w:p>
  </w:footnote>
  <w:footnote w:id="91">
    <w:p w14:paraId="35F14A17"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w:t>
      </w:r>
      <w:r w:rsidRPr="000B073B">
        <w:rPr>
          <w:rFonts w:asciiTheme="majorBidi" w:hAnsiTheme="majorBidi" w:cstheme="majorBidi"/>
          <w:rtl/>
        </w:rPr>
        <w:t xml:space="preserve"> </w:t>
      </w:r>
    </w:p>
  </w:footnote>
  <w:footnote w:id="92">
    <w:p w14:paraId="04B4297A" w14:textId="77777777" w:rsidR="0095491D" w:rsidRPr="000B073B" w:rsidRDefault="0095491D" w:rsidP="00DB0676">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xml:space="preserve">. The insight that criminals might exhibit risk-seeking behavior because of the unique way in which prison time is experienced and the policy implications stemming from it </w:t>
      </w:r>
      <w:proofErr w:type="gramStart"/>
      <w:r w:rsidRPr="000B073B">
        <w:rPr>
          <w:rFonts w:asciiTheme="majorBidi" w:hAnsiTheme="majorBidi" w:cstheme="majorBidi"/>
        </w:rPr>
        <w:t>were previously explored</w:t>
      </w:r>
      <w:proofErr w:type="gramEnd"/>
      <w:r w:rsidRPr="000B073B">
        <w:rPr>
          <w:rFonts w:asciiTheme="majorBidi" w:hAnsiTheme="majorBidi" w:cstheme="majorBidi"/>
        </w:rPr>
        <w:t xml:space="preserve"> in Alon Harel &amp; Uzi Segal, </w:t>
      </w:r>
      <w:r w:rsidRPr="000B073B">
        <w:rPr>
          <w:rFonts w:asciiTheme="majorBidi" w:hAnsiTheme="majorBidi" w:cstheme="majorBidi"/>
          <w:i/>
          <w:iCs/>
        </w:rPr>
        <w:t>Criminal Law and Behavioral Law and Economics: Observations on the Neglected Role of Uncertainty in Deterring Crime</w:t>
      </w:r>
      <w:r w:rsidRPr="000B073B">
        <w:rPr>
          <w:rFonts w:asciiTheme="majorBidi" w:hAnsiTheme="majorBidi" w:cstheme="majorBidi"/>
        </w:rPr>
        <w:t xml:space="preserve">, 1 </w:t>
      </w:r>
      <w:r w:rsidRPr="000B073B">
        <w:rPr>
          <w:rFonts w:asciiTheme="majorBidi" w:hAnsiTheme="majorBidi" w:cstheme="majorBidi"/>
          <w:smallCaps/>
        </w:rPr>
        <w:t>Am. L. Econ. Rev</w:t>
      </w:r>
      <w:r w:rsidRPr="000B073B">
        <w:rPr>
          <w:rFonts w:asciiTheme="majorBidi" w:hAnsiTheme="majorBidi" w:cstheme="majorBidi"/>
        </w:rPr>
        <w:t>. 276 (1999).</w:t>
      </w:r>
    </w:p>
  </w:footnote>
  <w:footnote w:id="93">
    <w:p w14:paraId="0EA7EDFD" w14:textId="77777777" w:rsidR="0095491D" w:rsidRPr="000B073B" w:rsidRDefault="0095491D" w:rsidP="000220C6">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Andreu Mas-</w:t>
      </w:r>
      <w:proofErr w:type="spellStart"/>
      <w:r w:rsidRPr="000B073B">
        <w:rPr>
          <w:rFonts w:asciiTheme="majorBidi" w:hAnsiTheme="majorBidi" w:cstheme="majorBidi"/>
          <w:smallCaps/>
        </w:rPr>
        <w:t>Colell</w:t>
      </w:r>
      <w:proofErr w:type="spellEnd"/>
      <w:r w:rsidRPr="000B073B">
        <w:rPr>
          <w:rFonts w:asciiTheme="majorBidi" w:hAnsiTheme="majorBidi" w:cstheme="majorBidi"/>
          <w:smallCaps/>
        </w:rPr>
        <w:t xml:space="preserve"> et al., Microeconomic Theory</w:t>
      </w:r>
      <w:r w:rsidRPr="000B073B">
        <w:rPr>
          <w:rFonts w:asciiTheme="majorBidi" w:hAnsiTheme="majorBidi" w:cstheme="majorBidi"/>
        </w:rPr>
        <w:t>, 186 (1995).</w:t>
      </w:r>
    </w:p>
  </w:footnote>
  <w:footnote w:id="94">
    <w:p w14:paraId="5B61AD05" w14:textId="77777777" w:rsidR="0095491D" w:rsidRPr="000B073B" w:rsidRDefault="0095491D" w:rsidP="00EC3613">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Shavell</w:t>
      </w:r>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_Ref432066684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17</w:t>
      </w:r>
      <w:r w:rsidRPr="000B073B">
        <w:rPr>
          <w:rFonts w:asciiTheme="majorBidi" w:hAnsiTheme="majorBidi" w:cstheme="majorBidi"/>
        </w:rPr>
        <w:fldChar w:fldCharType="end"/>
      </w:r>
      <w:r w:rsidRPr="000B073B">
        <w:rPr>
          <w:rFonts w:asciiTheme="majorBidi" w:hAnsiTheme="majorBidi" w:cstheme="majorBidi"/>
        </w:rPr>
        <w:t>, at 480-81 (analyzing risk preferences and deterrence).</w:t>
      </w:r>
    </w:p>
  </w:footnote>
  <w:footnote w:id="95">
    <w:p w14:paraId="63AF2345"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proofErr w:type="gramStart"/>
      <w:r w:rsidRPr="000B073B">
        <w:rPr>
          <w:rFonts w:asciiTheme="majorBidi" w:hAnsiTheme="majorBidi" w:cstheme="majorBidi"/>
          <w:i/>
          <w:iCs/>
        </w:rPr>
        <w:t>See generally</w:t>
      </w:r>
      <w:r w:rsidRPr="000B073B">
        <w:rPr>
          <w:rFonts w:asciiTheme="majorBidi" w:hAnsiTheme="majorBidi" w:cstheme="majorBidi"/>
        </w:rPr>
        <w:t xml:space="preserve"> Kaplow</w:t>
      </w:r>
      <w:proofErr w:type="gramEnd"/>
      <w:r w:rsidRPr="000B073B">
        <w:rPr>
          <w:rFonts w:asciiTheme="majorBidi" w:hAnsiTheme="majorBidi" w:cstheme="majorBidi"/>
        </w:rPr>
        <w:t xml:space="preserve">, </w:t>
      </w:r>
      <w:proofErr w:type="gramStart"/>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_Ref428281516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32</w:t>
      </w:r>
      <w:proofErr w:type="gramEnd"/>
      <w:r w:rsidRPr="000B073B">
        <w:rPr>
          <w:rFonts w:asciiTheme="majorBidi" w:hAnsiTheme="majorBidi" w:cstheme="majorBidi"/>
        </w:rPr>
        <w:fldChar w:fldCharType="end"/>
      </w:r>
      <w:r w:rsidRPr="000B073B">
        <w:rPr>
          <w:rFonts w:asciiTheme="majorBidi" w:hAnsiTheme="majorBidi" w:cstheme="majorBidi"/>
        </w:rPr>
        <w:t xml:space="preserve">. </w:t>
      </w:r>
    </w:p>
  </w:footnote>
  <w:footnote w:id="96">
    <w:p w14:paraId="50E8FA30" w14:textId="77777777" w:rsidR="0095491D" w:rsidRPr="000B073B" w:rsidRDefault="0095491D" w:rsidP="00EC3613">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xml:space="preserve">. at 819-24. </w:t>
      </w:r>
    </w:p>
  </w:footnote>
  <w:footnote w:id="97">
    <w:p w14:paraId="14D2E167"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w:t>
      </w:r>
    </w:p>
  </w:footnote>
  <w:footnote w:id="98">
    <w:p w14:paraId="0BF04744" w14:textId="042C37F3" w:rsidR="0095491D" w:rsidRPr="000B073B" w:rsidRDefault="0095491D" w:rsidP="009A73CA">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w:t>
      </w:r>
      <w:proofErr w:type="gramStart"/>
      <w:r w:rsidRPr="000B073B">
        <w:rPr>
          <w:rFonts w:asciiTheme="majorBidi" w:hAnsiTheme="majorBidi" w:cstheme="majorBidi"/>
        </w:rPr>
        <w:t>Fisher,</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_Ref435963920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70</w:t>
      </w:r>
      <w:r w:rsidRPr="000B073B">
        <w:rPr>
          <w:rFonts w:asciiTheme="majorBidi" w:hAnsiTheme="majorBidi" w:cstheme="majorBidi"/>
        </w:rPr>
        <w:fldChar w:fldCharType="end"/>
      </w:r>
      <w:r w:rsidRPr="000B073B">
        <w:rPr>
          <w:rFonts w:asciiTheme="majorBidi" w:hAnsiTheme="majorBidi" w:cstheme="majorBidi"/>
        </w:rPr>
        <w:t xml:space="preserve"> at 827-30.</w:t>
      </w:r>
    </w:p>
  </w:footnote>
  <w:footnote w:id="99">
    <w:p w14:paraId="791DD759"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proofErr w:type="gramStart"/>
      <w:r w:rsidRPr="000B073B">
        <w:rPr>
          <w:rFonts w:asciiTheme="majorBidi" w:hAnsiTheme="majorBidi" w:cstheme="majorBidi"/>
          <w:i/>
          <w:iCs/>
        </w:rPr>
        <w:t>See</w:t>
      </w:r>
      <w:r w:rsidRPr="000B073B">
        <w:rPr>
          <w:rFonts w:asciiTheme="majorBidi" w:hAnsiTheme="majorBidi" w:cstheme="majorBidi"/>
        </w:rPr>
        <w:t xml:space="preserve"> Kaye</w:t>
      </w:r>
      <w:proofErr w:type="gramEnd"/>
      <w:r w:rsidRPr="000B073B">
        <w:rPr>
          <w:rFonts w:asciiTheme="majorBidi" w:hAnsiTheme="majorBidi" w:cstheme="majorBidi"/>
        </w:rPr>
        <w:t xml:space="preserve">, </w:t>
      </w:r>
      <w:proofErr w:type="gramStart"/>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_Ref430693944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50</w:t>
      </w:r>
      <w:proofErr w:type="gramEnd"/>
      <w:r w:rsidRPr="000B073B">
        <w:rPr>
          <w:rFonts w:asciiTheme="majorBidi" w:hAnsiTheme="majorBidi" w:cstheme="majorBidi"/>
        </w:rPr>
        <w:fldChar w:fldCharType="end"/>
      </w:r>
      <w:r w:rsidRPr="000B073B">
        <w:rPr>
          <w:rFonts w:asciiTheme="majorBidi" w:hAnsiTheme="majorBidi" w:cstheme="majorBidi"/>
        </w:rPr>
        <w:t>.</w:t>
      </w:r>
    </w:p>
  </w:footnote>
  <w:footnote w:id="100">
    <w:p w14:paraId="08DB749C" w14:textId="77777777" w:rsidR="0095491D" w:rsidRPr="000B073B" w:rsidRDefault="0095491D" w:rsidP="00E30D45">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i/>
          <w:iCs/>
          <w:sz w:val="20"/>
          <w:szCs w:val="20"/>
        </w:rPr>
        <w:t>See</w:t>
      </w:r>
      <w:r w:rsidRPr="000B073B">
        <w:rPr>
          <w:rFonts w:asciiTheme="majorBidi" w:hAnsiTheme="majorBidi" w:cstheme="majorBidi"/>
          <w:sz w:val="20"/>
          <w:szCs w:val="20"/>
        </w:rPr>
        <w:t xml:space="preserve"> Steven Shavell, </w:t>
      </w:r>
      <w:r w:rsidRPr="000B073B">
        <w:rPr>
          <w:rFonts w:asciiTheme="majorBidi" w:hAnsiTheme="majorBidi" w:cstheme="majorBidi"/>
          <w:i/>
          <w:iCs/>
          <w:sz w:val="20"/>
          <w:szCs w:val="20"/>
        </w:rPr>
        <w:t>Uncertainty over Causation and the Determination of Civil Liability</w:t>
      </w:r>
      <w:r w:rsidRPr="000B073B">
        <w:rPr>
          <w:rFonts w:asciiTheme="majorBidi" w:hAnsiTheme="majorBidi" w:cstheme="majorBidi"/>
          <w:sz w:val="20"/>
          <w:szCs w:val="20"/>
        </w:rPr>
        <w:t xml:space="preserve">, 28 </w:t>
      </w:r>
      <w:r w:rsidRPr="000B073B">
        <w:rPr>
          <w:rFonts w:asciiTheme="majorBidi" w:hAnsiTheme="majorBidi" w:cstheme="majorBidi"/>
          <w:smallCaps/>
          <w:sz w:val="20"/>
          <w:szCs w:val="20"/>
        </w:rPr>
        <w:t>J.L. &amp; Econ</w:t>
      </w:r>
      <w:r w:rsidRPr="000B073B">
        <w:rPr>
          <w:rFonts w:asciiTheme="majorBidi" w:hAnsiTheme="majorBidi" w:cstheme="majorBidi"/>
          <w:sz w:val="20"/>
          <w:szCs w:val="20"/>
        </w:rPr>
        <w:t xml:space="preserve">. </w:t>
      </w:r>
      <w:proofErr w:type="gramStart"/>
      <w:r w:rsidRPr="000B073B">
        <w:rPr>
          <w:rFonts w:asciiTheme="majorBidi" w:hAnsiTheme="majorBidi" w:cstheme="majorBidi"/>
          <w:sz w:val="20"/>
          <w:szCs w:val="20"/>
        </w:rPr>
        <w:t>587</w:t>
      </w:r>
      <w:proofErr w:type="gramEnd"/>
      <w:r w:rsidRPr="000B073B">
        <w:rPr>
          <w:rFonts w:asciiTheme="majorBidi" w:hAnsiTheme="majorBidi" w:cstheme="majorBidi"/>
          <w:sz w:val="20"/>
          <w:szCs w:val="20"/>
        </w:rPr>
        <w:t xml:space="preserve"> (1985); Ariel Porat, </w:t>
      </w:r>
      <w:r w:rsidRPr="000B073B">
        <w:rPr>
          <w:rFonts w:asciiTheme="majorBidi" w:hAnsiTheme="majorBidi" w:cstheme="majorBidi"/>
          <w:i/>
          <w:iCs/>
          <w:sz w:val="20"/>
          <w:szCs w:val="20"/>
        </w:rPr>
        <w:t>Misalignments in Tort Law</w:t>
      </w:r>
      <w:r w:rsidRPr="000B073B">
        <w:rPr>
          <w:rFonts w:asciiTheme="majorBidi" w:hAnsiTheme="majorBidi" w:cstheme="majorBidi"/>
          <w:sz w:val="20"/>
          <w:szCs w:val="20"/>
        </w:rPr>
        <w:t xml:space="preserve">, 121 </w:t>
      </w:r>
      <w:r w:rsidRPr="000B073B">
        <w:rPr>
          <w:rFonts w:asciiTheme="majorBidi" w:hAnsiTheme="majorBidi" w:cstheme="majorBidi"/>
          <w:smallCaps/>
          <w:sz w:val="20"/>
          <w:szCs w:val="20"/>
        </w:rPr>
        <w:t>Yale L.J.</w:t>
      </w:r>
      <w:r w:rsidRPr="000B073B">
        <w:rPr>
          <w:rFonts w:asciiTheme="majorBidi" w:hAnsiTheme="majorBidi" w:cstheme="majorBidi"/>
          <w:sz w:val="20"/>
          <w:szCs w:val="20"/>
        </w:rPr>
        <w:t xml:space="preserve"> 82, 108–14 (2011). For a comprehensive analysis of the </w:t>
      </w:r>
      <w:proofErr w:type="gramStart"/>
      <w:r w:rsidRPr="000B073B">
        <w:rPr>
          <w:rFonts w:asciiTheme="majorBidi" w:hAnsiTheme="majorBidi" w:cstheme="majorBidi"/>
          <w:sz w:val="20"/>
          <w:szCs w:val="20"/>
        </w:rPr>
        <w:t>topic</w:t>
      </w:r>
      <w:proofErr w:type="gramEnd"/>
      <w:r w:rsidRPr="000B073B">
        <w:rPr>
          <w:rFonts w:asciiTheme="majorBidi" w:hAnsiTheme="majorBidi" w:cstheme="majorBidi"/>
          <w:sz w:val="20"/>
          <w:szCs w:val="20"/>
        </w:rPr>
        <w:t xml:space="preserve"> see </w:t>
      </w:r>
      <w:r w:rsidRPr="000B073B">
        <w:rPr>
          <w:rFonts w:asciiTheme="majorBidi" w:hAnsiTheme="majorBidi" w:cstheme="majorBidi"/>
          <w:smallCaps/>
          <w:sz w:val="20"/>
          <w:szCs w:val="20"/>
        </w:rPr>
        <w:t>Ariel Porat &amp; Alex Stein, Tort Liability Under Uncertainty</w:t>
      </w:r>
      <w:r w:rsidRPr="000B073B">
        <w:rPr>
          <w:rFonts w:asciiTheme="majorBidi" w:hAnsiTheme="majorBidi" w:cstheme="majorBidi"/>
          <w:sz w:val="20"/>
          <w:szCs w:val="20"/>
        </w:rPr>
        <w:t xml:space="preserve"> (2001). </w:t>
      </w:r>
    </w:p>
  </w:footnote>
  <w:footnote w:id="101">
    <w:p w14:paraId="66154123" w14:textId="77777777" w:rsidR="0095491D" w:rsidRPr="000B073B" w:rsidRDefault="0095491D" w:rsidP="007C69E4">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The paradigmatic example of this issue in civil litigation is causation. </w:t>
      </w:r>
      <w:r w:rsidRPr="000B073B">
        <w:rPr>
          <w:rFonts w:asciiTheme="majorBidi" w:hAnsiTheme="majorBidi" w:cstheme="majorBidi"/>
          <w:i/>
          <w:iCs/>
        </w:rPr>
        <w:t>See</w:t>
      </w:r>
      <w:r w:rsidRPr="000B073B">
        <w:rPr>
          <w:rFonts w:asciiTheme="majorBidi" w:hAnsiTheme="majorBidi" w:cstheme="majorBidi"/>
        </w:rPr>
        <w:t xml:space="preserve"> </w:t>
      </w:r>
      <w:proofErr w:type="gramStart"/>
      <w:r w:rsidRPr="000B073B">
        <w:rPr>
          <w:rFonts w:asciiTheme="majorBidi" w:hAnsiTheme="majorBidi" w:cstheme="majorBidi"/>
        </w:rPr>
        <w:t>Shavell,</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83, at 587-88.</w:t>
      </w:r>
    </w:p>
  </w:footnote>
  <w:footnote w:id="102">
    <w:p w14:paraId="5870CBF5"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at 589.</w:t>
      </w:r>
    </w:p>
  </w:footnote>
  <w:footnote w:id="103">
    <w:p w14:paraId="7A4D5396"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For a review on the way in which racial biases influence the entire criminal process see Jerry Kang et al., </w:t>
      </w:r>
      <w:r w:rsidRPr="000B073B">
        <w:rPr>
          <w:rFonts w:asciiTheme="majorBidi" w:hAnsiTheme="majorBidi" w:cstheme="majorBidi"/>
          <w:i/>
          <w:iCs/>
        </w:rPr>
        <w:t>Implicit Bias in the Courtroom</w:t>
      </w:r>
      <w:r w:rsidRPr="000B073B">
        <w:rPr>
          <w:rFonts w:asciiTheme="majorBidi" w:hAnsiTheme="majorBidi" w:cstheme="majorBidi"/>
        </w:rPr>
        <w:t xml:space="preserve">, 59 </w:t>
      </w:r>
      <w:r w:rsidRPr="000B073B">
        <w:rPr>
          <w:rFonts w:asciiTheme="majorBidi" w:hAnsiTheme="majorBidi" w:cstheme="majorBidi"/>
          <w:smallCaps/>
        </w:rPr>
        <w:t>UCLA L. Rev</w:t>
      </w:r>
      <w:r w:rsidRPr="000B073B">
        <w:rPr>
          <w:rFonts w:asciiTheme="majorBidi" w:hAnsiTheme="majorBidi" w:cstheme="majorBidi"/>
        </w:rPr>
        <w:t>. 1124, 1135-52 (2012).</w:t>
      </w:r>
    </w:p>
  </w:footnote>
  <w:footnote w:id="104">
    <w:p w14:paraId="038C9CAE" w14:textId="77777777" w:rsidR="0095491D" w:rsidRPr="000B073B" w:rsidRDefault="0095491D" w:rsidP="00740621">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The recent financial crisis and the lack of prosecutions after it might serve as a case in point. </w:t>
      </w:r>
      <w:r w:rsidRPr="000B073B">
        <w:rPr>
          <w:rFonts w:asciiTheme="majorBidi" w:hAnsiTheme="majorBidi" w:cstheme="majorBidi"/>
          <w:i/>
          <w:iCs/>
        </w:rPr>
        <w:t>See</w:t>
      </w:r>
      <w:r w:rsidRPr="000B073B">
        <w:rPr>
          <w:rFonts w:asciiTheme="majorBidi" w:hAnsiTheme="majorBidi" w:cstheme="majorBidi"/>
        </w:rPr>
        <w:t xml:space="preserve"> Jed S. </w:t>
      </w:r>
      <w:proofErr w:type="spellStart"/>
      <w:r w:rsidRPr="000B073B">
        <w:rPr>
          <w:rFonts w:asciiTheme="majorBidi" w:hAnsiTheme="majorBidi" w:cstheme="majorBidi"/>
        </w:rPr>
        <w:t>Rakoff</w:t>
      </w:r>
      <w:proofErr w:type="spellEnd"/>
      <w:r w:rsidRPr="000B073B">
        <w:rPr>
          <w:rFonts w:asciiTheme="majorBidi" w:hAnsiTheme="majorBidi" w:cstheme="majorBidi"/>
        </w:rPr>
        <w:t xml:space="preserve">, </w:t>
      </w:r>
      <w:r w:rsidRPr="000B073B">
        <w:rPr>
          <w:rFonts w:asciiTheme="majorBidi" w:hAnsiTheme="majorBidi" w:cstheme="majorBidi"/>
          <w:i/>
          <w:iCs/>
        </w:rPr>
        <w:t>The Financial Crisis: Why Have No High-Level Executives Been Prosecuted</w:t>
      </w:r>
      <w:proofErr w:type="gramStart"/>
      <w:r w:rsidRPr="000B073B">
        <w:rPr>
          <w:rFonts w:asciiTheme="majorBidi" w:hAnsiTheme="majorBidi" w:cstheme="majorBidi"/>
          <w:i/>
          <w:iCs/>
        </w:rPr>
        <w:t>?</w:t>
      </w:r>
      <w:r w:rsidRPr="000B073B">
        <w:rPr>
          <w:rFonts w:asciiTheme="majorBidi" w:hAnsiTheme="majorBidi" w:cstheme="majorBidi"/>
        </w:rPr>
        <w:t>,</w:t>
      </w:r>
      <w:proofErr w:type="gramEnd"/>
      <w:r w:rsidRPr="000B073B">
        <w:rPr>
          <w:rFonts w:asciiTheme="majorBidi" w:hAnsiTheme="majorBidi" w:cstheme="majorBidi"/>
        </w:rPr>
        <w:t xml:space="preserve"> </w:t>
      </w:r>
      <w:r w:rsidRPr="000B073B">
        <w:rPr>
          <w:rFonts w:asciiTheme="majorBidi" w:hAnsiTheme="majorBidi" w:cstheme="majorBidi"/>
          <w:smallCaps/>
        </w:rPr>
        <w:t>N.Y. Rev Books</w:t>
      </w:r>
      <w:r w:rsidRPr="000B073B">
        <w:rPr>
          <w:rFonts w:asciiTheme="majorBidi" w:hAnsiTheme="majorBidi" w:cstheme="majorBidi"/>
        </w:rPr>
        <w:t>, Jan. 9, 2014 (noting that “not a single high-level executive has been successfully prosecuted in connection with the recent financial crisis”).</w:t>
      </w:r>
    </w:p>
  </w:footnote>
  <w:footnote w:id="105">
    <w:p w14:paraId="44636400" w14:textId="4EF6A5DD" w:rsidR="0095491D" w:rsidRPr="00EC1C5A" w:rsidRDefault="0095491D" w:rsidP="00EC1C5A">
      <w:pPr>
        <w:autoSpaceDE w:val="0"/>
        <w:autoSpaceDN w:val="0"/>
        <w:bidi w:val="0"/>
        <w:adjustRightInd w:val="0"/>
        <w:spacing w:after="0" w:line="240" w:lineRule="auto"/>
        <w:jc w:val="both"/>
        <w:rPr>
          <w:rFonts w:asciiTheme="majorBidi" w:hAnsiTheme="majorBidi" w:cstheme="majorBidi"/>
          <w:sz w:val="20"/>
          <w:szCs w:val="20"/>
        </w:rPr>
      </w:pPr>
      <w:r w:rsidRPr="00EC1C5A">
        <w:rPr>
          <w:rStyle w:val="FootnoteReference"/>
          <w:rFonts w:asciiTheme="majorBidi" w:hAnsiTheme="majorBidi" w:cstheme="majorBidi"/>
          <w:sz w:val="20"/>
          <w:szCs w:val="20"/>
        </w:rPr>
        <w:footnoteRef/>
      </w:r>
      <w:r w:rsidRPr="00EC1C5A">
        <w:rPr>
          <w:rFonts w:asciiTheme="majorBidi" w:hAnsiTheme="majorBidi" w:cstheme="majorBidi"/>
          <w:sz w:val="20"/>
          <w:szCs w:val="20"/>
          <w:rtl/>
        </w:rPr>
        <w:t xml:space="preserve"> </w:t>
      </w:r>
      <w:r w:rsidRPr="00EC1C5A">
        <w:rPr>
          <w:rFonts w:asciiTheme="majorBidi" w:hAnsiTheme="majorBidi" w:cstheme="majorBidi"/>
          <w:i/>
          <w:iCs/>
          <w:sz w:val="20"/>
          <w:szCs w:val="20"/>
        </w:rPr>
        <w:t>See</w:t>
      </w:r>
      <w:r w:rsidRPr="00EC1C5A">
        <w:rPr>
          <w:rFonts w:asciiTheme="majorBidi" w:hAnsiTheme="majorBidi" w:cstheme="majorBidi"/>
          <w:sz w:val="20"/>
          <w:szCs w:val="20"/>
        </w:rPr>
        <w:t xml:space="preserve"> Ralph </w:t>
      </w:r>
      <w:proofErr w:type="spellStart"/>
      <w:r w:rsidRPr="00EC1C5A">
        <w:rPr>
          <w:rFonts w:asciiTheme="majorBidi" w:hAnsiTheme="majorBidi" w:cstheme="majorBidi"/>
          <w:sz w:val="20"/>
          <w:szCs w:val="20"/>
        </w:rPr>
        <w:t>Hertwig</w:t>
      </w:r>
      <w:proofErr w:type="spellEnd"/>
      <w:r w:rsidRPr="00EC1C5A">
        <w:rPr>
          <w:rFonts w:asciiTheme="majorBidi" w:hAnsiTheme="majorBidi" w:cstheme="majorBidi"/>
          <w:sz w:val="20"/>
          <w:szCs w:val="20"/>
        </w:rPr>
        <w:t xml:space="preserve"> et al., </w:t>
      </w:r>
      <w:r w:rsidRPr="00EC1C5A">
        <w:rPr>
          <w:rFonts w:asciiTheme="majorBidi" w:hAnsiTheme="majorBidi" w:cstheme="majorBidi"/>
          <w:i/>
          <w:iCs/>
          <w:sz w:val="20"/>
          <w:szCs w:val="20"/>
        </w:rPr>
        <w:t>Decisions from Experience and the Effect of Rare Events in Risky Choice</w:t>
      </w:r>
      <w:r w:rsidRPr="00EC1C5A">
        <w:rPr>
          <w:rFonts w:asciiTheme="majorBidi" w:hAnsiTheme="majorBidi" w:cstheme="majorBidi"/>
          <w:sz w:val="20"/>
          <w:szCs w:val="20"/>
        </w:rPr>
        <w:t xml:space="preserve">, 15 </w:t>
      </w:r>
      <w:r w:rsidRPr="00EC1C5A">
        <w:rPr>
          <w:rFonts w:asciiTheme="majorBidi" w:hAnsiTheme="majorBidi" w:cstheme="majorBidi"/>
          <w:smallCaps/>
          <w:sz w:val="20"/>
          <w:szCs w:val="20"/>
        </w:rPr>
        <w:t>Psychol. Science</w:t>
      </w:r>
      <w:r w:rsidRPr="00EC1C5A">
        <w:rPr>
          <w:rFonts w:asciiTheme="majorBidi" w:hAnsiTheme="majorBidi" w:cstheme="majorBidi"/>
          <w:sz w:val="20"/>
          <w:szCs w:val="20"/>
        </w:rPr>
        <w:t xml:space="preserve"> 534 (2004); Ralph </w:t>
      </w:r>
      <w:proofErr w:type="spellStart"/>
      <w:r w:rsidRPr="00EC1C5A">
        <w:rPr>
          <w:rFonts w:asciiTheme="majorBidi" w:hAnsiTheme="majorBidi" w:cstheme="majorBidi"/>
          <w:sz w:val="20"/>
          <w:szCs w:val="20"/>
        </w:rPr>
        <w:t>Hertwig</w:t>
      </w:r>
      <w:proofErr w:type="spellEnd"/>
      <w:r w:rsidRPr="00EC1C5A">
        <w:rPr>
          <w:rFonts w:asciiTheme="majorBidi" w:hAnsiTheme="majorBidi" w:cstheme="majorBidi"/>
          <w:sz w:val="20"/>
          <w:szCs w:val="20"/>
        </w:rPr>
        <w:t xml:space="preserve"> &amp; Ido Erev, </w:t>
      </w:r>
      <w:r w:rsidRPr="00EC1C5A">
        <w:rPr>
          <w:rFonts w:asciiTheme="majorBidi" w:hAnsiTheme="majorBidi" w:cstheme="majorBidi"/>
          <w:i/>
          <w:iCs/>
          <w:sz w:val="20"/>
          <w:szCs w:val="20"/>
        </w:rPr>
        <w:t>The Description–Experience Gap in Risky Choice</w:t>
      </w:r>
      <w:r w:rsidRPr="00EC1C5A">
        <w:rPr>
          <w:rFonts w:asciiTheme="majorBidi" w:hAnsiTheme="majorBidi" w:cstheme="majorBidi"/>
          <w:sz w:val="20"/>
          <w:szCs w:val="20"/>
        </w:rPr>
        <w:t xml:space="preserve">, 13 </w:t>
      </w:r>
      <w:r w:rsidRPr="00EC1C5A">
        <w:rPr>
          <w:rFonts w:asciiTheme="majorBidi" w:hAnsiTheme="majorBidi" w:cstheme="majorBidi"/>
          <w:smallCaps/>
          <w:sz w:val="20"/>
          <w:szCs w:val="20"/>
        </w:rPr>
        <w:t>Trends in Cognitive Science</w:t>
      </w:r>
      <w:r w:rsidRPr="00EC1C5A">
        <w:rPr>
          <w:rFonts w:asciiTheme="majorBidi" w:hAnsiTheme="majorBidi" w:cstheme="majorBidi"/>
          <w:sz w:val="20"/>
          <w:szCs w:val="20"/>
        </w:rPr>
        <w:t xml:space="preserve"> 517 (2009); Ralph </w:t>
      </w:r>
      <w:proofErr w:type="spellStart"/>
      <w:r w:rsidRPr="00EC1C5A">
        <w:rPr>
          <w:rFonts w:asciiTheme="majorBidi" w:eastAsia="Times New Roman" w:hAnsiTheme="majorBidi" w:cstheme="majorBidi"/>
          <w:sz w:val="20"/>
          <w:szCs w:val="20"/>
        </w:rPr>
        <w:t>Hertwig</w:t>
      </w:r>
      <w:proofErr w:type="spellEnd"/>
      <w:r w:rsidRPr="00EC1C5A">
        <w:rPr>
          <w:rFonts w:asciiTheme="majorBidi" w:eastAsia="Times New Roman" w:hAnsiTheme="majorBidi" w:cstheme="majorBidi"/>
          <w:sz w:val="20"/>
          <w:szCs w:val="20"/>
        </w:rPr>
        <w:t xml:space="preserve"> &amp; Timothy J. </w:t>
      </w:r>
      <w:proofErr w:type="spellStart"/>
      <w:r w:rsidRPr="00EC1C5A">
        <w:rPr>
          <w:rFonts w:asciiTheme="majorBidi" w:eastAsia="Times New Roman" w:hAnsiTheme="majorBidi" w:cstheme="majorBidi"/>
          <w:sz w:val="20"/>
          <w:szCs w:val="20"/>
        </w:rPr>
        <w:t>Pleskac</w:t>
      </w:r>
      <w:proofErr w:type="spellEnd"/>
      <w:r w:rsidRPr="00EC1C5A">
        <w:rPr>
          <w:rFonts w:asciiTheme="majorBidi" w:eastAsia="Times New Roman" w:hAnsiTheme="majorBidi" w:cstheme="majorBidi"/>
          <w:sz w:val="20"/>
          <w:szCs w:val="20"/>
        </w:rPr>
        <w:t xml:space="preserve">, </w:t>
      </w:r>
      <w:r w:rsidRPr="00EC1C5A">
        <w:rPr>
          <w:rFonts w:asciiTheme="majorBidi" w:eastAsia="Times New Roman" w:hAnsiTheme="majorBidi" w:cstheme="majorBidi"/>
          <w:i/>
          <w:iCs/>
          <w:sz w:val="20"/>
          <w:szCs w:val="20"/>
        </w:rPr>
        <w:t>Decisions from Experience: Why Small Samples?</w:t>
      </w:r>
      <w:r w:rsidRPr="00EC1C5A">
        <w:rPr>
          <w:rFonts w:asciiTheme="majorBidi" w:eastAsia="Times New Roman" w:hAnsiTheme="majorBidi" w:cstheme="majorBidi"/>
          <w:sz w:val="20"/>
          <w:szCs w:val="20"/>
        </w:rPr>
        <w:t xml:space="preserve">, 115 </w:t>
      </w:r>
      <w:r w:rsidRPr="00EC1C5A">
        <w:rPr>
          <w:rFonts w:asciiTheme="majorBidi" w:hAnsiTheme="majorBidi" w:cstheme="majorBidi"/>
          <w:smallCaps/>
          <w:sz w:val="20"/>
          <w:szCs w:val="20"/>
        </w:rPr>
        <w:t xml:space="preserve">Cognition </w:t>
      </w:r>
      <w:r w:rsidRPr="00EC1C5A">
        <w:rPr>
          <w:rFonts w:asciiTheme="majorBidi" w:eastAsia="Times New Roman" w:hAnsiTheme="majorBidi" w:cstheme="majorBidi"/>
          <w:sz w:val="20"/>
          <w:szCs w:val="20"/>
        </w:rPr>
        <w:t>225 (2010)</w:t>
      </w:r>
      <w:r w:rsidRPr="00EC1C5A">
        <w:rPr>
          <w:rFonts w:asciiTheme="majorBidi" w:hAnsiTheme="majorBidi" w:cstheme="majorBidi"/>
          <w:sz w:val="20"/>
          <w:szCs w:val="20"/>
        </w:rPr>
        <w:t>.</w:t>
      </w:r>
    </w:p>
  </w:footnote>
  <w:footnote w:id="106">
    <w:p w14:paraId="340034F5" w14:textId="77777777" w:rsidR="0095491D" w:rsidRPr="000B073B" w:rsidRDefault="0095491D" w:rsidP="00567D7A">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i/>
          <w:iCs/>
          <w:sz w:val="20"/>
          <w:szCs w:val="20"/>
        </w:rPr>
        <w:t>See</w:t>
      </w:r>
      <w:r w:rsidRPr="000B073B">
        <w:rPr>
          <w:rFonts w:asciiTheme="majorBidi" w:hAnsiTheme="majorBidi" w:cstheme="majorBidi"/>
          <w:sz w:val="20"/>
          <w:szCs w:val="20"/>
        </w:rPr>
        <w:t xml:space="preserve"> Ido Erev &amp; </w:t>
      </w:r>
      <w:proofErr w:type="spellStart"/>
      <w:r w:rsidRPr="000B073B">
        <w:rPr>
          <w:rFonts w:asciiTheme="majorBidi" w:hAnsiTheme="majorBidi" w:cstheme="majorBidi"/>
          <w:sz w:val="20"/>
          <w:szCs w:val="20"/>
        </w:rPr>
        <w:t>Ernan</w:t>
      </w:r>
      <w:proofErr w:type="spellEnd"/>
      <w:r w:rsidRPr="000B073B">
        <w:rPr>
          <w:rFonts w:asciiTheme="majorBidi" w:hAnsiTheme="majorBidi" w:cstheme="majorBidi"/>
          <w:sz w:val="20"/>
          <w:szCs w:val="20"/>
        </w:rPr>
        <w:t xml:space="preserve"> </w:t>
      </w:r>
      <w:proofErr w:type="spellStart"/>
      <w:r w:rsidRPr="000B073B">
        <w:rPr>
          <w:rFonts w:asciiTheme="majorBidi" w:hAnsiTheme="majorBidi" w:cstheme="majorBidi"/>
          <w:sz w:val="20"/>
          <w:szCs w:val="20"/>
        </w:rPr>
        <w:t>Haruvy</w:t>
      </w:r>
      <w:proofErr w:type="spellEnd"/>
      <w:r w:rsidRPr="000B073B">
        <w:rPr>
          <w:rFonts w:asciiTheme="majorBidi" w:hAnsiTheme="majorBidi" w:cstheme="majorBidi"/>
          <w:sz w:val="20"/>
          <w:szCs w:val="20"/>
        </w:rPr>
        <w:t xml:space="preserve">, </w:t>
      </w:r>
      <w:r w:rsidRPr="000B073B">
        <w:rPr>
          <w:rFonts w:asciiTheme="majorBidi" w:hAnsiTheme="majorBidi" w:cstheme="majorBidi"/>
          <w:i/>
          <w:iCs/>
          <w:sz w:val="20"/>
          <w:szCs w:val="20"/>
        </w:rPr>
        <w:t>Learning and the Economics of Small Decisions</w:t>
      </w:r>
      <w:r w:rsidRPr="000B073B">
        <w:rPr>
          <w:rFonts w:asciiTheme="majorBidi" w:hAnsiTheme="majorBidi" w:cstheme="majorBidi"/>
          <w:sz w:val="20"/>
          <w:szCs w:val="20"/>
        </w:rPr>
        <w:t xml:space="preserve">, </w:t>
      </w:r>
      <w:r w:rsidRPr="000B073B">
        <w:rPr>
          <w:rFonts w:asciiTheme="majorBidi" w:hAnsiTheme="majorBidi" w:cstheme="majorBidi"/>
          <w:i/>
          <w:iCs/>
          <w:sz w:val="20"/>
          <w:szCs w:val="20"/>
        </w:rPr>
        <w:t>in</w:t>
      </w:r>
      <w:r w:rsidRPr="000B073B">
        <w:rPr>
          <w:rFonts w:asciiTheme="majorBidi" w:hAnsiTheme="majorBidi" w:cstheme="majorBidi"/>
          <w:sz w:val="20"/>
          <w:szCs w:val="20"/>
        </w:rPr>
        <w:t xml:space="preserve"> </w:t>
      </w:r>
      <w:r w:rsidRPr="000B073B">
        <w:rPr>
          <w:rFonts w:asciiTheme="majorBidi" w:hAnsiTheme="majorBidi" w:cstheme="majorBidi"/>
          <w:smallCaps/>
          <w:sz w:val="20"/>
          <w:szCs w:val="20"/>
        </w:rPr>
        <w:t>The Handbook of Experimental Economics</w:t>
      </w:r>
      <w:r w:rsidRPr="000B073B">
        <w:rPr>
          <w:rFonts w:asciiTheme="majorBidi" w:hAnsiTheme="majorBidi" w:cstheme="majorBidi"/>
          <w:sz w:val="20"/>
          <w:szCs w:val="20"/>
        </w:rPr>
        <w:t xml:space="preserve"> 4 (John H. </w:t>
      </w:r>
      <w:proofErr w:type="spellStart"/>
      <w:r w:rsidRPr="000B073B">
        <w:rPr>
          <w:rFonts w:asciiTheme="majorBidi" w:hAnsiTheme="majorBidi" w:cstheme="majorBidi"/>
          <w:sz w:val="20"/>
          <w:szCs w:val="20"/>
        </w:rPr>
        <w:t>Kagel</w:t>
      </w:r>
      <w:proofErr w:type="spellEnd"/>
      <w:r w:rsidRPr="000B073B">
        <w:rPr>
          <w:rFonts w:asciiTheme="majorBidi" w:hAnsiTheme="majorBidi" w:cstheme="majorBidi"/>
          <w:sz w:val="20"/>
          <w:szCs w:val="20"/>
        </w:rPr>
        <w:t xml:space="preserve"> &amp; Alvin E. Roth eds., forthcoming 2016). </w:t>
      </w:r>
    </w:p>
  </w:footnote>
  <w:footnote w:id="107">
    <w:p w14:paraId="06FC767F" w14:textId="77777777" w:rsidR="0095491D" w:rsidRPr="000B073B" w:rsidRDefault="0095491D" w:rsidP="00AD115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at 78.</w:t>
      </w:r>
    </w:p>
  </w:footnote>
  <w:footnote w:id="108">
    <w:p w14:paraId="1E5A914C"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Ido Erev &amp; Alvin E. Roth, </w:t>
      </w:r>
      <w:r w:rsidRPr="000B073B">
        <w:rPr>
          <w:rFonts w:asciiTheme="majorBidi" w:hAnsiTheme="majorBidi" w:cstheme="majorBidi"/>
          <w:i/>
          <w:iCs/>
        </w:rPr>
        <w:t>Maximization, Learning, and Economic Behavior</w:t>
      </w:r>
      <w:r w:rsidRPr="000B073B">
        <w:rPr>
          <w:rFonts w:asciiTheme="majorBidi" w:hAnsiTheme="majorBidi" w:cstheme="majorBidi"/>
        </w:rPr>
        <w:t>, 111 PNAS 10818, 10822 (2014).</w:t>
      </w:r>
    </w:p>
  </w:footnote>
  <w:footnote w:id="109">
    <w:p w14:paraId="1384DC11"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e.g</w:t>
      </w:r>
      <w:r w:rsidRPr="000B073B">
        <w:rPr>
          <w:rFonts w:asciiTheme="majorBidi" w:hAnsiTheme="majorBidi" w:cstheme="majorBidi"/>
        </w:rPr>
        <w:t xml:space="preserve">., Daniel S. Nagin, </w:t>
      </w:r>
      <w:r w:rsidRPr="000B073B">
        <w:rPr>
          <w:rFonts w:asciiTheme="majorBidi" w:hAnsiTheme="majorBidi" w:cstheme="majorBidi"/>
          <w:i/>
          <w:iCs/>
        </w:rPr>
        <w:t>Deterrence: A Review of the Evidence by a Criminologist for Economists</w:t>
      </w:r>
      <w:r w:rsidRPr="000B073B">
        <w:rPr>
          <w:rFonts w:asciiTheme="majorBidi" w:hAnsiTheme="majorBidi" w:cstheme="majorBidi"/>
        </w:rPr>
        <w:t xml:space="preserve">, </w:t>
      </w:r>
      <w:proofErr w:type="gramStart"/>
      <w:r w:rsidRPr="000B073B">
        <w:rPr>
          <w:rFonts w:asciiTheme="majorBidi" w:hAnsiTheme="majorBidi" w:cstheme="majorBidi"/>
        </w:rPr>
        <w:t>5</w:t>
      </w:r>
      <w:proofErr w:type="gramEnd"/>
      <w:r w:rsidRPr="000B073B">
        <w:rPr>
          <w:rFonts w:asciiTheme="majorBidi" w:hAnsiTheme="majorBidi" w:cstheme="majorBidi"/>
        </w:rPr>
        <w:t xml:space="preserve"> </w:t>
      </w:r>
      <w:proofErr w:type="spellStart"/>
      <w:r w:rsidRPr="000B073B">
        <w:rPr>
          <w:rFonts w:asciiTheme="majorBidi" w:hAnsiTheme="majorBidi" w:cstheme="majorBidi"/>
          <w:smallCaps/>
        </w:rPr>
        <w:t>Annu</w:t>
      </w:r>
      <w:proofErr w:type="spellEnd"/>
      <w:r w:rsidRPr="000B073B">
        <w:rPr>
          <w:rFonts w:asciiTheme="majorBidi" w:hAnsiTheme="majorBidi" w:cstheme="majorBidi"/>
          <w:smallCaps/>
        </w:rPr>
        <w:t>. Rev. Econ</w:t>
      </w:r>
      <w:r w:rsidRPr="000B073B">
        <w:rPr>
          <w:rFonts w:asciiTheme="majorBidi" w:hAnsiTheme="majorBidi" w:cstheme="majorBidi"/>
        </w:rPr>
        <w:t>. 83, 101 (2013).</w:t>
      </w:r>
    </w:p>
  </w:footnote>
  <w:footnote w:id="110">
    <w:p w14:paraId="6AFB2847"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 e.g</w:t>
      </w:r>
      <w:r w:rsidRPr="000B073B">
        <w:rPr>
          <w:rFonts w:asciiTheme="majorBidi" w:hAnsiTheme="majorBidi" w:cstheme="majorBidi"/>
        </w:rPr>
        <w:t xml:space="preserve">., Steven N. </w:t>
      </w:r>
      <w:proofErr w:type="spellStart"/>
      <w:r w:rsidRPr="000B073B">
        <w:rPr>
          <w:rFonts w:asciiTheme="majorBidi" w:hAnsiTheme="majorBidi" w:cstheme="majorBidi"/>
        </w:rPr>
        <w:t>Durlauf</w:t>
      </w:r>
      <w:proofErr w:type="spellEnd"/>
      <w:r w:rsidRPr="000B073B">
        <w:rPr>
          <w:rFonts w:asciiTheme="majorBidi" w:hAnsiTheme="majorBidi" w:cstheme="majorBidi"/>
        </w:rPr>
        <w:t xml:space="preserve"> &amp; Daniel S. Nagin, </w:t>
      </w:r>
      <w:r w:rsidRPr="000B073B">
        <w:rPr>
          <w:rFonts w:asciiTheme="majorBidi" w:hAnsiTheme="majorBidi" w:cstheme="majorBidi"/>
          <w:i/>
          <w:iCs/>
        </w:rPr>
        <w:t>Imprisonment and Crime: Can Both be Reduced</w:t>
      </w:r>
      <w:proofErr w:type="gramStart"/>
      <w:r w:rsidRPr="000B073B">
        <w:rPr>
          <w:rFonts w:asciiTheme="majorBidi" w:hAnsiTheme="majorBidi" w:cstheme="majorBidi"/>
          <w:i/>
          <w:iCs/>
        </w:rPr>
        <w:t>?</w:t>
      </w:r>
      <w:r w:rsidRPr="000B073B">
        <w:rPr>
          <w:rFonts w:asciiTheme="majorBidi" w:hAnsiTheme="majorBidi" w:cstheme="majorBidi"/>
        </w:rPr>
        <w:t>,</w:t>
      </w:r>
      <w:proofErr w:type="gramEnd"/>
      <w:r w:rsidRPr="000B073B">
        <w:rPr>
          <w:rFonts w:asciiTheme="majorBidi" w:hAnsiTheme="majorBidi" w:cstheme="majorBidi"/>
        </w:rPr>
        <w:t xml:space="preserve"> 10 </w:t>
      </w:r>
      <w:r w:rsidRPr="000B073B">
        <w:rPr>
          <w:rFonts w:asciiTheme="majorBidi" w:hAnsiTheme="majorBidi" w:cstheme="majorBidi"/>
          <w:smallCaps/>
        </w:rPr>
        <w:t xml:space="preserve">Criminology &amp; Pub. </w:t>
      </w:r>
      <w:proofErr w:type="spellStart"/>
      <w:r w:rsidRPr="000B073B">
        <w:rPr>
          <w:rFonts w:asciiTheme="majorBidi" w:hAnsiTheme="majorBidi" w:cstheme="majorBidi"/>
          <w:smallCaps/>
        </w:rPr>
        <w:t>Pol’y</w:t>
      </w:r>
      <w:proofErr w:type="spellEnd"/>
      <w:r w:rsidRPr="000B073B">
        <w:rPr>
          <w:rFonts w:asciiTheme="majorBidi" w:hAnsiTheme="majorBidi" w:cstheme="majorBidi"/>
        </w:rPr>
        <w:t xml:space="preserve"> 13 (2011).</w:t>
      </w:r>
    </w:p>
  </w:footnote>
  <w:footnote w:id="111">
    <w:p w14:paraId="40451D29"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at 38.</w:t>
      </w:r>
    </w:p>
  </w:footnote>
  <w:footnote w:id="112">
    <w:p w14:paraId="367C80FE" w14:textId="77777777" w:rsidR="0095491D" w:rsidRPr="000B073B" w:rsidRDefault="0095491D" w:rsidP="0069383A">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Fisher,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_Ref435963920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70</w:t>
      </w:r>
      <w:r w:rsidRPr="000B073B">
        <w:rPr>
          <w:rFonts w:asciiTheme="majorBidi" w:hAnsiTheme="majorBidi" w:cstheme="majorBidi"/>
        </w:rPr>
        <w:fldChar w:fldCharType="end"/>
      </w:r>
      <w:r w:rsidRPr="000B073B">
        <w:rPr>
          <w:rFonts w:asciiTheme="majorBidi" w:hAnsiTheme="majorBidi" w:cstheme="majorBidi"/>
        </w:rPr>
        <w:t>, at 824</w:t>
      </w:r>
    </w:p>
  </w:footnote>
  <w:footnote w:id="113">
    <w:p w14:paraId="1CBE9CA2" w14:textId="600B4EF7" w:rsidR="0095491D" w:rsidRDefault="0095491D" w:rsidP="002D5FB9">
      <w:pPr>
        <w:pStyle w:val="FootnoteText"/>
        <w:bidi w:val="0"/>
      </w:pPr>
      <w:r>
        <w:rPr>
          <w:rStyle w:val="FootnoteReference"/>
        </w:rPr>
        <w:footnoteRef/>
      </w:r>
      <w:r>
        <w:rPr>
          <w:rtl/>
        </w:rPr>
        <w:t xml:space="preserve"> </w:t>
      </w:r>
      <w:r>
        <w:t xml:space="preserve"> </w:t>
      </w:r>
      <w:r w:rsidRPr="002D5FB9">
        <w:rPr>
          <w:i/>
          <w:iCs/>
        </w:rPr>
        <w:t>See supra</w:t>
      </w:r>
      <w:r>
        <w:t xml:space="preserve"> subsection II. 2. </w:t>
      </w:r>
    </w:p>
  </w:footnote>
  <w:footnote w:id="114">
    <w:p w14:paraId="4C282879"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 supra</w:t>
      </w:r>
      <w:r w:rsidRPr="000B073B">
        <w:rPr>
          <w:rFonts w:asciiTheme="majorBidi" w:hAnsiTheme="majorBidi" w:cstheme="majorBidi"/>
        </w:rPr>
        <w:t xml:space="preserve"> notes </w:t>
      </w:r>
      <w:r w:rsidRPr="000B073B">
        <w:rPr>
          <w:rFonts w:asciiTheme="majorBidi" w:hAnsiTheme="majorBidi" w:cstheme="majorBidi"/>
        </w:rPr>
        <w:fldChar w:fldCharType="begin"/>
      </w:r>
      <w:r w:rsidRPr="000B073B">
        <w:rPr>
          <w:rFonts w:asciiTheme="majorBidi" w:hAnsiTheme="majorBidi" w:cstheme="majorBidi"/>
        </w:rPr>
        <w:instrText xml:space="preserve"> NOTEREF _Ref428271186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42</w:t>
      </w:r>
      <w:r w:rsidRPr="000B073B">
        <w:rPr>
          <w:rFonts w:asciiTheme="majorBidi" w:hAnsiTheme="majorBidi" w:cstheme="majorBidi"/>
        </w:rPr>
        <w:fldChar w:fldCharType="end"/>
      </w:r>
      <w:r w:rsidRPr="000B073B">
        <w:rPr>
          <w:rFonts w:asciiTheme="majorBidi" w:hAnsiTheme="majorBidi" w:cstheme="majorBidi"/>
        </w:rPr>
        <w:t>-</w:t>
      </w:r>
      <w:r w:rsidRPr="000B073B">
        <w:rPr>
          <w:rFonts w:asciiTheme="majorBidi" w:hAnsiTheme="majorBidi" w:cstheme="majorBidi"/>
        </w:rPr>
        <w:fldChar w:fldCharType="begin"/>
      </w:r>
      <w:r w:rsidRPr="000B073B">
        <w:rPr>
          <w:rFonts w:asciiTheme="majorBidi" w:hAnsiTheme="majorBidi" w:cstheme="majorBidi"/>
        </w:rPr>
        <w:instrText xml:space="preserve"> NOTEREF _Ref432075494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45</w:t>
      </w:r>
      <w:r w:rsidRPr="000B073B">
        <w:rPr>
          <w:rFonts w:asciiTheme="majorBidi" w:hAnsiTheme="majorBidi" w:cstheme="majorBidi"/>
        </w:rPr>
        <w:fldChar w:fldCharType="end"/>
      </w:r>
      <w:r w:rsidRPr="000B073B">
        <w:rPr>
          <w:rFonts w:asciiTheme="majorBidi" w:hAnsiTheme="majorBidi" w:cstheme="majorBidi"/>
        </w:rPr>
        <w:t xml:space="preserve"> and accompanying text.</w:t>
      </w:r>
    </w:p>
  </w:footnote>
  <w:footnote w:id="115">
    <w:p w14:paraId="3BA57BB4" w14:textId="77777777" w:rsidR="0095491D" w:rsidRPr="000B073B" w:rsidRDefault="0095491D" w:rsidP="0069383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smallCaps/>
        </w:rPr>
        <w:t>U.S Const.</w:t>
      </w:r>
      <w:r w:rsidRPr="000B073B">
        <w:rPr>
          <w:rFonts w:asciiTheme="majorBidi" w:hAnsiTheme="majorBidi" w:cstheme="majorBidi"/>
        </w:rPr>
        <w:t xml:space="preserve"> amend. V</w:t>
      </w:r>
    </w:p>
  </w:footnote>
  <w:footnote w:id="116">
    <w:p w14:paraId="1C010DB2" w14:textId="7451DD2D" w:rsidR="0095491D" w:rsidRPr="000B073B" w:rsidRDefault="0095491D" w:rsidP="00E61549">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Ariel Bendor &amp; Hadar Dancig-Rosenberg, </w:t>
      </w:r>
      <w:r w:rsidRPr="000B073B">
        <w:rPr>
          <w:rFonts w:asciiTheme="majorBidi" w:hAnsiTheme="majorBidi" w:cstheme="majorBidi"/>
          <w:i/>
          <w:iCs/>
        </w:rPr>
        <w:t>Unconstitutional Criminalization</w:t>
      </w:r>
      <w:r w:rsidRPr="000B073B">
        <w:rPr>
          <w:rFonts w:asciiTheme="majorBidi" w:hAnsiTheme="majorBidi" w:cstheme="majorBidi"/>
        </w:rPr>
        <w:t>,</w:t>
      </w:r>
      <w:r w:rsidRPr="000B073B">
        <w:rPr>
          <w:rFonts w:asciiTheme="majorBidi" w:hAnsiTheme="majorBidi" w:cstheme="majorBidi"/>
          <w:smallCaps/>
        </w:rPr>
        <w:t xml:space="preserve"> New Crim. L. Rev.</w:t>
      </w:r>
      <w:r w:rsidRPr="000B073B">
        <w:rPr>
          <w:rFonts w:asciiTheme="majorBidi" w:hAnsiTheme="majorBidi" w:cstheme="majorBidi"/>
        </w:rPr>
        <w:t xml:space="preserve"> (forthcoming, 2016) (</w:t>
      </w:r>
      <w:proofErr w:type="gramStart"/>
      <w:r w:rsidRPr="000B073B">
        <w:rPr>
          <w:rFonts w:asciiTheme="majorBidi" w:hAnsiTheme="majorBidi" w:cstheme="majorBidi"/>
        </w:rPr>
        <w:t>noting that</w:t>
      </w:r>
      <w:proofErr w:type="gramEnd"/>
      <w:r w:rsidRPr="000B073B">
        <w:rPr>
          <w:rFonts w:asciiTheme="majorBidi" w:hAnsiTheme="majorBidi" w:cstheme="majorBidi"/>
        </w:rPr>
        <w:t xml:space="preserve"> “the Supreme Court has not constitutionalized substantive criminal law”).</w:t>
      </w:r>
    </w:p>
  </w:footnote>
  <w:footnote w:id="117">
    <w:p w14:paraId="568788BF" w14:textId="77777777" w:rsidR="0095491D" w:rsidRPr="000B073B" w:rsidRDefault="0095491D" w:rsidP="00D74EB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w:t>
      </w:r>
      <w:proofErr w:type="gramStart"/>
      <w:r w:rsidRPr="000B073B">
        <w:rPr>
          <w:rFonts w:asciiTheme="majorBidi" w:hAnsiTheme="majorBidi" w:cstheme="majorBidi"/>
          <w:smallCaps/>
        </w:rPr>
        <w:t>LaFave</w:t>
      </w:r>
      <w:r w:rsidRPr="000B073B">
        <w:rPr>
          <w:rFonts w:asciiTheme="majorBidi" w:hAnsiTheme="majorBidi" w:cstheme="majorBidi"/>
        </w:rPr>
        <w:t>,</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_Ref432075494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45</w:t>
      </w:r>
      <w:r w:rsidRPr="000B073B">
        <w:rPr>
          <w:rFonts w:asciiTheme="majorBidi" w:hAnsiTheme="majorBidi" w:cstheme="majorBidi"/>
        </w:rPr>
        <w:fldChar w:fldCharType="end"/>
      </w:r>
      <w:r w:rsidRPr="000B073B">
        <w:rPr>
          <w:rFonts w:asciiTheme="majorBidi" w:hAnsiTheme="majorBidi" w:cstheme="majorBidi"/>
        </w:rPr>
        <w:t xml:space="preserve">, at 197-200. To be sure, some state courts have taken a more proactive stance on this point and invalidated such statutes. </w:t>
      </w:r>
      <w:r w:rsidRPr="000B073B">
        <w:rPr>
          <w:rFonts w:asciiTheme="majorBidi" w:hAnsiTheme="majorBidi" w:cstheme="majorBidi"/>
          <w:i/>
          <w:iCs/>
        </w:rPr>
        <w:t>Id</w:t>
      </w:r>
      <w:r w:rsidRPr="000B073B">
        <w:rPr>
          <w:rFonts w:asciiTheme="majorBidi" w:hAnsiTheme="majorBidi" w:cstheme="majorBidi"/>
        </w:rPr>
        <w:t xml:space="preserve">. at 200-207. A similar picture is true under European law, see Victor </w:t>
      </w:r>
      <w:proofErr w:type="spellStart"/>
      <w:r w:rsidRPr="000B073B">
        <w:rPr>
          <w:rFonts w:asciiTheme="majorBidi" w:hAnsiTheme="majorBidi" w:cstheme="majorBidi"/>
        </w:rPr>
        <w:t>Tadros</w:t>
      </w:r>
      <w:proofErr w:type="spellEnd"/>
      <w:r w:rsidRPr="000B073B">
        <w:rPr>
          <w:rFonts w:asciiTheme="majorBidi" w:hAnsiTheme="majorBidi" w:cstheme="majorBidi"/>
        </w:rPr>
        <w:t xml:space="preserve">, </w:t>
      </w:r>
      <w:r w:rsidRPr="000B073B">
        <w:rPr>
          <w:rFonts w:asciiTheme="majorBidi" w:hAnsiTheme="majorBidi" w:cstheme="majorBidi"/>
          <w:i/>
          <w:iCs/>
        </w:rPr>
        <w:t>Rethinking the Presumption of Innocence</w:t>
      </w:r>
      <w:r w:rsidRPr="000B073B">
        <w:rPr>
          <w:rFonts w:asciiTheme="majorBidi" w:hAnsiTheme="majorBidi" w:cstheme="majorBidi"/>
        </w:rPr>
        <w:t xml:space="preserve">, 1 </w:t>
      </w:r>
      <w:r w:rsidRPr="000B073B">
        <w:rPr>
          <w:rFonts w:asciiTheme="majorBidi" w:hAnsiTheme="majorBidi" w:cstheme="majorBidi"/>
          <w:smallCaps/>
        </w:rPr>
        <w:t>Crim. L. &amp; Phil</w:t>
      </w:r>
      <w:r w:rsidRPr="000B073B">
        <w:rPr>
          <w:rFonts w:asciiTheme="majorBidi" w:hAnsiTheme="majorBidi" w:cstheme="majorBidi"/>
        </w:rPr>
        <w:t>. 193, 193-4 (2006) (highlighting the different status of substantive and procedural challenges under the European Convention on Human Rights).</w:t>
      </w:r>
    </w:p>
  </w:footnote>
  <w:footnote w:id="118">
    <w:p w14:paraId="2895F7DB" w14:textId="77777777" w:rsidR="0095491D" w:rsidRPr="000B073B" w:rsidRDefault="0095491D" w:rsidP="00DF6C97">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The current constitutional state of affairs is not necessarily a desirable one. For a critic of the distinction between procedure and substance on this point &amp; Stephan,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_Ref431901939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10</w:t>
      </w:r>
      <w:r w:rsidRPr="000B073B">
        <w:rPr>
          <w:rFonts w:asciiTheme="majorBidi" w:hAnsiTheme="majorBidi" w:cstheme="majorBidi"/>
        </w:rPr>
        <w:fldChar w:fldCharType="end"/>
      </w:r>
      <w:r w:rsidRPr="000B073B">
        <w:rPr>
          <w:rFonts w:asciiTheme="majorBidi" w:hAnsiTheme="majorBidi" w:cstheme="majorBidi"/>
        </w:rPr>
        <w:t xml:space="preserve">, at 1344-1353.   </w:t>
      </w:r>
    </w:p>
  </w:footnote>
  <w:footnote w:id="119">
    <w:p w14:paraId="1C5258B0" w14:textId="00E0DFC8" w:rsidR="0095491D" w:rsidRPr="000B073B" w:rsidRDefault="0095491D" w:rsidP="00DD23C1">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 e.g.</w:t>
      </w:r>
      <w:r w:rsidRPr="000B073B">
        <w:rPr>
          <w:rFonts w:asciiTheme="majorBidi" w:hAnsiTheme="majorBidi" w:cstheme="majorBidi"/>
        </w:rPr>
        <w:t xml:space="preserve">, Fisher,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_Ref432066838 \h  \* MERGEFORMAT </w:instrText>
      </w:r>
      <w:r w:rsidRPr="000B073B">
        <w:rPr>
          <w:rFonts w:asciiTheme="majorBidi" w:hAnsiTheme="majorBidi" w:cstheme="majorBidi"/>
        </w:rPr>
      </w:r>
      <w:r w:rsidRPr="000B073B">
        <w:rPr>
          <w:rFonts w:asciiTheme="majorBidi" w:hAnsiTheme="majorBidi" w:cstheme="majorBidi"/>
        </w:rPr>
        <w:fldChar w:fldCharType="separate"/>
      </w:r>
      <w:proofErr w:type="gramStart"/>
      <w:r w:rsidRPr="000B073B">
        <w:rPr>
          <w:rFonts w:asciiTheme="majorBidi" w:hAnsiTheme="majorBidi" w:cstheme="majorBidi"/>
        </w:rPr>
        <w:t>7</w:t>
      </w:r>
      <w:proofErr w:type="gramEnd"/>
      <w:r w:rsidRPr="000B073B">
        <w:rPr>
          <w:rFonts w:asciiTheme="majorBidi" w:hAnsiTheme="majorBidi" w:cstheme="majorBidi"/>
        </w:rPr>
        <w:fldChar w:fldCharType="end"/>
      </w:r>
      <w:r w:rsidRPr="000B073B">
        <w:rPr>
          <w:rFonts w:asciiTheme="majorBidi" w:hAnsiTheme="majorBidi" w:cstheme="majorBidi"/>
        </w:rPr>
        <w:t>, at 838-54 (reviewing probabilistic policies under prevailing law).</w:t>
      </w:r>
    </w:p>
  </w:footnote>
  <w:footnote w:id="120">
    <w:p w14:paraId="1E212065" w14:textId="77777777" w:rsidR="0095491D" w:rsidRPr="000B073B" w:rsidRDefault="0095491D" w:rsidP="00AD1150">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Pr>
        <w:t xml:space="preserve"> For an early exposition of this idea see Frank H. Easterbrook, </w:t>
      </w:r>
      <w:r w:rsidRPr="000B073B">
        <w:rPr>
          <w:rFonts w:asciiTheme="majorBidi" w:hAnsiTheme="majorBidi" w:cstheme="majorBidi"/>
          <w:i/>
          <w:iCs/>
          <w:sz w:val="20"/>
          <w:szCs w:val="20"/>
        </w:rPr>
        <w:t xml:space="preserve">Criminal Procedure as a Market System, </w:t>
      </w:r>
      <w:r w:rsidRPr="000B073B">
        <w:rPr>
          <w:rFonts w:asciiTheme="majorBidi" w:hAnsiTheme="majorBidi" w:cstheme="majorBidi"/>
          <w:sz w:val="20"/>
          <w:szCs w:val="20"/>
        </w:rPr>
        <w:t xml:space="preserve">12 </w:t>
      </w:r>
      <w:r w:rsidRPr="000B073B">
        <w:rPr>
          <w:rFonts w:asciiTheme="majorBidi" w:hAnsiTheme="majorBidi" w:cstheme="majorBidi"/>
          <w:smallCaps/>
          <w:sz w:val="20"/>
          <w:szCs w:val="20"/>
        </w:rPr>
        <w:t>J. Legal Stud</w:t>
      </w:r>
      <w:r w:rsidRPr="000B073B">
        <w:rPr>
          <w:rFonts w:asciiTheme="majorBidi" w:hAnsiTheme="majorBidi" w:cstheme="majorBidi"/>
          <w:sz w:val="20"/>
          <w:szCs w:val="20"/>
        </w:rPr>
        <w:t xml:space="preserve">. 289, 309-17 (1983). </w:t>
      </w:r>
    </w:p>
  </w:footnote>
  <w:footnote w:id="121">
    <w:p w14:paraId="77E48EF7" w14:textId="77777777" w:rsidR="0095491D" w:rsidRPr="000B073B" w:rsidRDefault="0095491D" w:rsidP="00617315">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smallCaps/>
        </w:rPr>
        <w:t>Joshua Dressler &amp; George C. Thomas III, Criminal Procedure: Principles, Policies and Perspectives</w:t>
      </w:r>
      <w:r w:rsidRPr="000B073B">
        <w:rPr>
          <w:rFonts w:asciiTheme="majorBidi" w:hAnsiTheme="majorBidi" w:cstheme="majorBidi"/>
        </w:rPr>
        <w:t xml:space="preserve"> 151 (</w:t>
      </w:r>
      <w:proofErr w:type="gramStart"/>
      <w:r w:rsidRPr="000B073B">
        <w:rPr>
          <w:rFonts w:asciiTheme="majorBidi" w:hAnsiTheme="majorBidi" w:cstheme="majorBidi"/>
        </w:rPr>
        <w:t>5th</w:t>
      </w:r>
      <w:proofErr w:type="gramEnd"/>
      <w:r w:rsidRPr="000B073B">
        <w:rPr>
          <w:rFonts w:asciiTheme="majorBidi" w:hAnsiTheme="majorBidi" w:cstheme="majorBidi"/>
        </w:rPr>
        <w:t xml:space="preserve"> ed., 2013).</w:t>
      </w:r>
    </w:p>
  </w:footnote>
  <w:footnote w:id="122">
    <w:p w14:paraId="164D967D" w14:textId="77777777" w:rsidR="0095491D" w:rsidRPr="000B073B" w:rsidRDefault="0095491D" w:rsidP="00AB45BA">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i/>
          <w:iCs/>
          <w:sz w:val="20"/>
          <w:szCs w:val="20"/>
        </w:rPr>
        <w:t>See</w:t>
      </w:r>
      <w:r w:rsidRPr="000B073B">
        <w:rPr>
          <w:rFonts w:asciiTheme="majorBidi" w:hAnsiTheme="majorBidi" w:cstheme="majorBidi"/>
          <w:sz w:val="20"/>
          <w:szCs w:val="20"/>
        </w:rPr>
        <w:t xml:space="preserve"> Samuel Bray, Comment, </w:t>
      </w:r>
      <w:proofErr w:type="gramStart"/>
      <w:r w:rsidRPr="000B073B">
        <w:rPr>
          <w:rFonts w:asciiTheme="majorBidi" w:hAnsiTheme="majorBidi" w:cstheme="majorBidi"/>
          <w:i/>
          <w:iCs/>
          <w:sz w:val="20"/>
          <w:szCs w:val="20"/>
        </w:rPr>
        <w:t>Not</w:t>
      </w:r>
      <w:proofErr w:type="gramEnd"/>
      <w:r w:rsidRPr="000B073B">
        <w:rPr>
          <w:rFonts w:asciiTheme="majorBidi" w:hAnsiTheme="majorBidi" w:cstheme="majorBidi"/>
          <w:i/>
          <w:iCs/>
          <w:sz w:val="20"/>
          <w:szCs w:val="20"/>
        </w:rPr>
        <w:t xml:space="preserve"> Proven: Introducing a Third Verdict</w:t>
      </w:r>
      <w:r w:rsidRPr="000B073B">
        <w:rPr>
          <w:rFonts w:asciiTheme="majorBidi" w:hAnsiTheme="majorBidi" w:cstheme="majorBidi"/>
          <w:sz w:val="20"/>
          <w:szCs w:val="20"/>
        </w:rPr>
        <w:t xml:space="preserve">, 72 </w:t>
      </w:r>
      <w:r w:rsidRPr="000B073B">
        <w:rPr>
          <w:rFonts w:asciiTheme="majorBidi" w:hAnsiTheme="majorBidi" w:cstheme="majorBidi"/>
          <w:smallCaps/>
          <w:sz w:val="20"/>
          <w:szCs w:val="20"/>
        </w:rPr>
        <w:t xml:space="preserve">U. Chi. L. Rev. </w:t>
      </w:r>
      <w:r w:rsidRPr="000B073B">
        <w:rPr>
          <w:rFonts w:asciiTheme="majorBidi" w:hAnsiTheme="majorBidi" w:cstheme="majorBidi"/>
          <w:sz w:val="20"/>
          <w:szCs w:val="20"/>
        </w:rPr>
        <w:t xml:space="preserve">1299, 1309–11 (2005); Epps, </w:t>
      </w:r>
      <w:r w:rsidRPr="000B073B">
        <w:rPr>
          <w:rFonts w:asciiTheme="majorBidi" w:hAnsiTheme="majorBidi" w:cstheme="majorBidi"/>
          <w:i/>
          <w:iCs/>
          <w:sz w:val="20"/>
          <w:szCs w:val="20"/>
        </w:rPr>
        <w:t>supra</w:t>
      </w:r>
      <w:r w:rsidRPr="000B073B">
        <w:rPr>
          <w:rFonts w:asciiTheme="majorBidi" w:hAnsiTheme="majorBidi" w:cstheme="majorBidi"/>
          <w:sz w:val="20"/>
          <w:szCs w:val="20"/>
        </w:rPr>
        <w:t xml:space="preserve"> note </w:t>
      </w:r>
      <w:r w:rsidRPr="000B073B">
        <w:rPr>
          <w:rFonts w:asciiTheme="majorBidi" w:hAnsiTheme="majorBidi" w:cstheme="majorBidi"/>
          <w:sz w:val="20"/>
          <w:szCs w:val="20"/>
        </w:rPr>
        <w:fldChar w:fldCharType="begin"/>
      </w:r>
      <w:r w:rsidRPr="000B073B">
        <w:rPr>
          <w:rFonts w:asciiTheme="majorBidi" w:hAnsiTheme="majorBidi" w:cstheme="majorBidi"/>
          <w:sz w:val="20"/>
          <w:szCs w:val="20"/>
        </w:rPr>
        <w:instrText xml:space="preserve"> NOTEREF _Ref432025602 \h  \* MERGEFORMAT </w:instrText>
      </w:r>
      <w:r w:rsidRPr="000B073B">
        <w:rPr>
          <w:rFonts w:asciiTheme="majorBidi" w:hAnsiTheme="majorBidi" w:cstheme="majorBidi"/>
          <w:sz w:val="20"/>
          <w:szCs w:val="20"/>
        </w:rPr>
      </w:r>
      <w:r w:rsidRPr="000B073B">
        <w:rPr>
          <w:rFonts w:asciiTheme="majorBidi" w:hAnsiTheme="majorBidi" w:cstheme="majorBidi"/>
          <w:sz w:val="20"/>
          <w:szCs w:val="20"/>
        </w:rPr>
        <w:fldChar w:fldCharType="separate"/>
      </w:r>
      <w:r w:rsidRPr="000B073B">
        <w:rPr>
          <w:rFonts w:asciiTheme="majorBidi" w:hAnsiTheme="majorBidi" w:cstheme="majorBidi"/>
          <w:sz w:val="20"/>
          <w:szCs w:val="20"/>
        </w:rPr>
        <w:t>54</w:t>
      </w:r>
      <w:r w:rsidRPr="000B073B">
        <w:rPr>
          <w:rFonts w:asciiTheme="majorBidi" w:hAnsiTheme="majorBidi" w:cstheme="majorBidi"/>
          <w:sz w:val="20"/>
          <w:szCs w:val="20"/>
        </w:rPr>
        <w:fldChar w:fldCharType="end"/>
      </w:r>
      <w:r w:rsidRPr="000B073B">
        <w:rPr>
          <w:rFonts w:asciiTheme="majorBidi" w:hAnsiTheme="majorBidi" w:cstheme="majorBidi"/>
          <w:sz w:val="20"/>
          <w:szCs w:val="20"/>
        </w:rPr>
        <w:t>, at 1101-02.</w:t>
      </w:r>
    </w:p>
  </w:footnote>
  <w:footnote w:id="123">
    <w:p w14:paraId="3992FD85" w14:textId="77777777" w:rsidR="0095491D" w:rsidRPr="000B073B" w:rsidRDefault="0095491D" w:rsidP="00AB45BA">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sz w:val="20"/>
          <w:szCs w:val="20"/>
        </w:rPr>
        <w:t xml:space="preserve">For a review of the adverse consequences endured by innocent defendants see Andrew D. </w:t>
      </w:r>
      <w:proofErr w:type="spellStart"/>
      <w:r w:rsidRPr="000B073B">
        <w:rPr>
          <w:rFonts w:asciiTheme="majorBidi" w:hAnsiTheme="majorBidi" w:cstheme="majorBidi"/>
          <w:sz w:val="20"/>
          <w:szCs w:val="20"/>
        </w:rPr>
        <w:t>Leipold</w:t>
      </w:r>
      <w:proofErr w:type="spellEnd"/>
      <w:r w:rsidRPr="000B073B">
        <w:rPr>
          <w:rFonts w:asciiTheme="majorBidi" w:hAnsiTheme="majorBidi" w:cstheme="majorBidi"/>
          <w:sz w:val="20"/>
          <w:szCs w:val="20"/>
        </w:rPr>
        <w:t xml:space="preserve">, </w:t>
      </w:r>
      <w:r w:rsidRPr="000B073B">
        <w:rPr>
          <w:rFonts w:asciiTheme="majorBidi" w:hAnsiTheme="majorBidi" w:cstheme="majorBidi"/>
          <w:i/>
          <w:iCs/>
          <w:sz w:val="20"/>
          <w:szCs w:val="20"/>
        </w:rPr>
        <w:t>The Problem of the Innocent Acquitted Defendant</w:t>
      </w:r>
      <w:r w:rsidRPr="000B073B">
        <w:rPr>
          <w:rFonts w:asciiTheme="majorBidi" w:hAnsiTheme="majorBidi" w:cstheme="majorBidi"/>
          <w:sz w:val="20"/>
          <w:szCs w:val="20"/>
        </w:rPr>
        <w:t xml:space="preserve">, 94 </w:t>
      </w:r>
      <w:r w:rsidRPr="000B073B">
        <w:rPr>
          <w:rFonts w:asciiTheme="majorBidi" w:hAnsiTheme="majorBidi" w:cstheme="majorBidi"/>
          <w:smallCaps/>
          <w:sz w:val="20"/>
          <w:szCs w:val="20"/>
        </w:rPr>
        <w:t>Nw. U. L. Rev</w:t>
      </w:r>
      <w:r w:rsidRPr="000B073B">
        <w:rPr>
          <w:rFonts w:asciiTheme="majorBidi" w:hAnsiTheme="majorBidi" w:cstheme="majorBidi"/>
          <w:sz w:val="20"/>
          <w:szCs w:val="20"/>
        </w:rPr>
        <w:t xml:space="preserve">. 1297, 1304-11 (2000). </w:t>
      </w:r>
    </w:p>
  </w:footnote>
  <w:footnote w:id="124">
    <w:p w14:paraId="5714B56D" w14:textId="77777777" w:rsidR="0095491D" w:rsidRPr="000B073B" w:rsidRDefault="0095491D" w:rsidP="00FD3A82">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Bureau of Justice Assistance, National Assessment of Structured Sentencing</w:t>
      </w:r>
      <w:r w:rsidRPr="000B073B">
        <w:rPr>
          <w:rFonts w:asciiTheme="majorBidi" w:hAnsiTheme="majorBidi" w:cstheme="majorBidi"/>
        </w:rPr>
        <w:t xml:space="preserve"> 67 (1996) (“prior record, is the second major consideration in determining guideline sentences”). </w:t>
      </w:r>
    </w:p>
  </w:footnote>
  <w:footnote w:id="125">
    <w:p w14:paraId="5080F5D5" w14:textId="77777777" w:rsidR="0095491D" w:rsidRPr="000B073B" w:rsidRDefault="0095491D" w:rsidP="00AB45B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From a legislative </w:t>
      </w:r>
      <w:proofErr w:type="gramStart"/>
      <w:r w:rsidRPr="000B073B">
        <w:rPr>
          <w:rFonts w:asciiTheme="majorBidi" w:hAnsiTheme="majorBidi" w:cstheme="majorBidi"/>
        </w:rPr>
        <w:t>perspective</w:t>
      </w:r>
      <w:proofErr w:type="gramEnd"/>
      <w:r w:rsidRPr="000B073B">
        <w:rPr>
          <w:rFonts w:asciiTheme="majorBidi" w:hAnsiTheme="majorBidi" w:cstheme="majorBidi"/>
        </w:rPr>
        <w:t xml:space="preserve"> this is often achieved through state guidelines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Michael H. Tonry, The Future of Imprisonment</w:t>
      </w:r>
      <w:r w:rsidRPr="000B073B">
        <w:rPr>
          <w:rFonts w:asciiTheme="majorBidi" w:hAnsiTheme="majorBidi" w:cstheme="majorBidi"/>
        </w:rPr>
        <w:t xml:space="preserve"> 97 (2004)) or through specific statutory enhancements that target recidivists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 xml:space="preserve">John Clark et al., U.S. Dep’t of Justice, “Three Strikes and You`re Out”: A Review of State Legislation </w:t>
      </w:r>
      <w:r w:rsidRPr="000B073B">
        <w:rPr>
          <w:rFonts w:asciiTheme="majorBidi" w:hAnsiTheme="majorBidi" w:cstheme="majorBidi"/>
        </w:rPr>
        <w:t>6 (1997)).</w:t>
      </w:r>
    </w:p>
  </w:footnote>
  <w:footnote w:id="126">
    <w:p w14:paraId="7E63C10B" w14:textId="77777777" w:rsidR="0095491D" w:rsidRPr="000B073B" w:rsidRDefault="0095491D" w:rsidP="00AB45B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For a critical review of the literature see Guttel &amp; Teichman,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_Ref431901939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10</w:t>
      </w:r>
      <w:r w:rsidRPr="000B073B">
        <w:rPr>
          <w:rFonts w:asciiTheme="majorBidi" w:hAnsiTheme="majorBidi" w:cstheme="majorBidi"/>
        </w:rPr>
        <w:fldChar w:fldCharType="end"/>
      </w:r>
      <w:r w:rsidRPr="000B073B">
        <w:rPr>
          <w:rFonts w:asciiTheme="majorBidi" w:hAnsiTheme="majorBidi" w:cstheme="majorBidi"/>
        </w:rPr>
        <w:t>, at 634-35.</w:t>
      </w:r>
    </w:p>
  </w:footnote>
  <w:footnote w:id="127">
    <w:p w14:paraId="53F1CCF0" w14:textId="77777777" w:rsidR="0095491D" w:rsidRPr="000B073B" w:rsidRDefault="0095491D" w:rsidP="00AB45B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color w:val="000000"/>
        </w:rPr>
        <w:t xml:space="preserve">Ariel Rubinstein, </w:t>
      </w:r>
      <w:r w:rsidRPr="000B073B">
        <w:rPr>
          <w:rFonts w:asciiTheme="majorBidi" w:hAnsiTheme="majorBidi" w:cstheme="majorBidi"/>
          <w:i/>
          <w:iCs/>
          <w:color w:val="000000"/>
        </w:rPr>
        <w:t>An Optimal Conviction Policy for Offenses That May Have Been Committed by Accident</w:t>
      </w:r>
      <w:r w:rsidRPr="000B073B">
        <w:rPr>
          <w:rFonts w:asciiTheme="majorBidi" w:hAnsiTheme="majorBidi" w:cstheme="majorBidi"/>
          <w:color w:val="000000"/>
        </w:rPr>
        <w:t xml:space="preserve">, </w:t>
      </w:r>
      <w:r w:rsidRPr="000B073B">
        <w:rPr>
          <w:rFonts w:asciiTheme="majorBidi" w:hAnsiTheme="majorBidi" w:cstheme="majorBidi"/>
          <w:i/>
          <w:iCs/>
          <w:color w:val="000000"/>
        </w:rPr>
        <w:t>in</w:t>
      </w:r>
      <w:r w:rsidRPr="000B073B">
        <w:rPr>
          <w:rFonts w:asciiTheme="majorBidi" w:hAnsiTheme="majorBidi" w:cstheme="majorBidi"/>
          <w:color w:val="000000"/>
        </w:rPr>
        <w:t xml:space="preserve"> </w:t>
      </w:r>
      <w:r w:rsidRPr="000B073B">
        <w:rPr>
          <w:rFonts w:asciiTheme="majorBidi" w:hAnsiTheme="majorBidi" w:cstheme="majorBidi"/>
          <w:smallCaps/>
        </w:rPr>
        <w:t>Applied Game Theory</w:t>
      </w:r>
      <w:r w:rsidRPr="000B073B">
        <w:rPr>
          <w:rFonts w:asciiTheme="majorBidi" w:hAnsiTheme="majorBidi" w:cstheme="majorBidi"/>
          <w:color w:val="000000"/>
        </w:rPr>
        <w:t xml:space="preserve"> 406 (S.J. </w:t>
      </w:r>
      <w:proofErr w:type="spellStart"/>
      <w:r w:rsidRPr="000B073B">
        <w:rPr>
          <w:rFonts w:asciiTheme="majorBidi" w:hAnsiTheme="majorBidi" w:cstheme="majorBidi"/>
          <w:color w:val="000000"/>
        </w:rPr>
        <w:t>Brams</w:t>
      </w:r>
      <w:proofErr w:type="spellEnd"/>
      <w:r w:rsidRPr="000B073B">
        <w:rPr>
          <w:rFonts w:asciiTheme="majorBidi" w:hAnsiTheme="majorBidi" w:cstheme="majorBidi"/>
          <w:color w:val="000000"/>
        </w:rPr>
        <w:t xml:space="preserve"> et al. eds., 1979); Ariel Rubinstein, </w:t>
      </w:r>
      <w:r w:rsidRPr="000B073B">
        <w:rPr>
          <w:rFonts w:asciiTheme="majorBidi" w:hAnsiTheme="majorBidi" w:cstheme="majorBidi"/>
          <w:i/>
          <w:iCs/>
          <w:color w:val="000000"/>
        </w:rPr>
        <w:t>On an Anomaly of the Deterrent Effect of Punishment</w:t>
      </w:r>
      <w:r w:rsidRPr="000B073B">
        <w:rPr>
          <w:rFonts w:asciiTheme="majorBidi" w:hAnsiTheme="majorBidi" w:cstheme="majorBidi"/>
          <w:color w:val="000000"/>
        </w:rPr>
        <w:t xml:space="preserve">, </w:t>
      </w:r>
      <w:proofErr w:type="gramStart"/>
      <w:r w:rsidRPr="000B073B">
        <w:rPr>
          <w:rFonts w:asciiTheme="majorBidi" w:hAnsiTheme="majorBidi" w:cstheme="majorBidi"/>
          <w:color w:val="000000"/>
        </w:rPr>
        <w:t>6</w:t>
      </w:r>
      <w:proofErr w:type="gramEnd"/>
      <w:r w:rsidRPr="000B073B">
        <w:rPr>
          <w:rFonts w:asciiTheme="majorBidi" w:hAnsiTheme="majorBidi" w:cstheme="majorBidi"/>
          <w:color w:val="000000"/>
        </w:rPr>
        <w:t xml:space="preserve"> </w:t>
      </w:r>
      <w:r w:rsidRPr="000B073B">
        <w:rPr>
          <w:rFonts w:asciiTheme="majorBidi" w:hAnsiTheme="majorBidi" w:cstheme="majorBidi"/>
          <w:smallCaps/>
        </w:rPr>
        <w:t>Econ. Letters</w:t>
      </w:r>
      <w:r w:rsidRPr="000B073B">
        <w:rPr>
          <w:rFonts w:asciiTheme="majorBidi" w:hAnsiTheme="majorBidi" w:cstheme="majorBidi"/>
          <w:color w:val="000000"/>
        </w:rPr>
        <w:t xml:space="preserve"> 89 (1980)</w:t>
      </w:r>
      <w:r w:rsidRPr="000B073B">
        <w:rPr>
          <w:rFonts w:asciiTheme="majorBidi" w:hAnsiTheme="majorBidi" w:cstheme="majorBidi"/>
        </w:rPr>
        <w:t>.</w:t>
      </w:r>
    </w:p>
  </w:footnote>
  <w:footnote w:id="128">
    <w:p w14:paraId="7E4FFC75" w14:textId="77777777" w:rsidR="0095491D" w:rsidRPr="000B073B" w:rsidRDefault="0095491D" w:rsidP="00AB45B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For a review of this literature see Guttel &amp; Teichman,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_Ref431901939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10</w:t>
      </w:r>
      <w:r w:rsidRPr="000B073B">
        <w:rPr>
          <w:rFonts w:asciiTheme="majorBidi" w:hAnsiTheme="majorBidi" w:cstheme="majorBidi"/>
        </w:rPr>
        <w:fldChar w:fldCharType="end"/>
      </w:r>
      <w:r w:rsidRPr="000B073B">
        <w:rPr>
          <w:rFonts w:asciiTheme="majorBidi" w:hAnsiTheme="majorBidi" w:cstheme="majorBidi"/>
        </w:rPr>
        <w:t>, at 601-07.</w:t>
      </w:r>
    </w:p>
  </w:footnote>
  <w:footnote w:id="129">
    <w:p w14:paraId="5D951C92" w14:textId="77777777" w:rsidR="0095491D" w:rsidRPr="000B073B" w:rsidRDefault="0095491D" w:rsidP="00AD2588">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proofErr w:type="gramStart"/>
      <w:r w:rsidRPr="000B073B">
        <w:rPr>
          <w:rFonts w:asciiTheme="majorBidi" w:hAnsiTheme="majorBidi" w:cstheme="majorBidi"/>
          <w:smallCaps/>
        </w:rPr>
        <w:t>Dix,</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_Ref432024489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38</w:t>
      </w:r>
      <w:r w:rsidRPr="000B073B">
        <w:rPr>
          <w:rFonts w:asciiTheme="majorBidi" w:hAnsiTheme="majorBidi" w:cstheme="majorBidi"/>
        </w:rPr>
        <w:fldChar w:fldCharType="end"/>
      </w:r>
      <w:r w:rsidRPr="000B073B">
        <w:rPr>
          <w:rFonts w:asciiTheme="majorBidi" w:hAnsiTheme="majorBidi" w:cstheme="majorBidi"/>
        </w:rPr>
        <w:t xml:space="preserve">, at 574-75. Presumptions merely state that deducing a reasonable conclusion is permissible, an act that could arguably be done with or without them. That said, in practice such presumptions are expected to be of importance given peoples’ reluctance to infer liability from indirect evidence. </w:t>
      </w:r>
      <w:r w:rsidRPr="000B073B">
        <w:rPr>
          <w:rFonts w:asciiTheme="majorBidi" w:hAnsiTheme="majorBidi" w:cstheme="majorBidi"/>
          <w:i/>
          <w:iCs/>
        </w:rPr>
        <w:t>See</w:t>
      </w:r>
      <w:r w:rsidRPr="000B073B">
        <w:rPr>
          <w:rFonts w:asciiTheme="majorBidi" w:hAnsiTheme="majorBidi" w:cstheme="majorBidi"/>
        </w:rPr>
        <w:t xml:space="preserve"> Zamir, Ritov &amp; </w:t>
      </w:r>
      <w:proofErr w:type="gramStart"/>
      <w:r w:rsidRPr="000B073B">
        <w:rPr>
          <w:rFonts w:asciiTheme="majorBidi" w:hAnsiTheme="majorBidi" w:cstheme="majorBidi"/>
        </w:rPr>
        <w:t>Teichman,</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_Ref438723651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31</w:t>
      </w:r>
      <w:r w:rsidRPr="000B073B">
        <w:rPr>
          <w:rFonts w:asciiTheme="majorBidi" w:hAnsiTheme="majorBidi" w:cstheme="majorBidi"/>
        </w:rPr>
        <w:fldChar w:fldCharType="end"/>
      </w:r>
      <w:r w:rsidRPr="000B073B">
        <w:rPr>
          <w:rFonts w:asciiTheme="majorBidi" w:hAnsiTheme="majorBidi" w:cstheme="majorBidi"/>
        </w:rPr>
        <w:t xml:space="preserve">, at 224-25. </w:t>
      </w:r>
    </w:p>
  </w:footnote>
  <w:footnote w:id="130">
    <w:p w14:paraId="3C7607D9" w14:textId="77777777" w:rsidR="0095491D" w:rsidRPr="000B073B" w:rsidRDefault="0095491D" w:rsidP="00B44CA2">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 xml:space="preserve">See </w:t>
      </w:r>
      <w:r w:rsidRPr="000B073B">
        <w:rPr>
          <w:rFonts w:asciiTheme="majorBidi" w:hAnsiTheme="majorBidi" w:cstheme="majorBidi"/>
          <w:smallCaps/>
        </w:rPr>
        <w:t>Dix</w:t>
      </w:r>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_Ref432024489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38</w:t>
      </w:r>
      <w:r w:rsidRPr="000B073B">
        <w:rPr>
          <w:rFonts w:asciiTheme="majorBidi" w:hAnsiTheme="majorBidi" w:cstheme="majorBidi"/>
        </w:rPr>
        <w:fldChar w:fldCharType="end"/>
      </w:r>
      <w:r w:rsidRPr="000B073B">
        <w:rPr>
          <w:rFonts w:asciiTheme="majorBidi" w:hAnsiTheme="majorBidi" w:cstheme="majorBidi"/>
        </w:rPr>
        <w:t>, at 584-93.</w:t>
      </w:r>
    </w:p>
  </w:footnote>
  <w:footnote w:id="131">
    <w:p w14:paraId="1717DE82" w14:textId="77777777" w:rsidR="0095491D" w:rsidRPr="000B073B" w:rsidRDefault="0095491D" w:rsidP="00AB45B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Barton L. Ingraham, </w:t>
      </w:r>
      <w:r w:rsidRPr="000B073B">
        <w:rPr>
          <w:rFonts w:asciiTheme="majorBidi" w:hAnsiTheme="majorBidi" w:cstheme="majorBidi"/>
          <w:i/>
          <w:iCs/>
        </w:rPr>
        <w:t>The Right of Silence, the Presumption of Innocence, the Burden of Proof, and a Modest Proposal: A Reply to O'Reilly</w:t>
      </w:r>
      <w:r w:rsidRPr="000B073B">
        <w:rPr>
          <w:rFonts w:asciiTheme="majorBidi" w:hAnsiTheme="majorBidi" w:cstheme="majorBidi"/>
        </w:rPr>
        <w:t xml:space="preserve">, </w:t>
      </w:r>
      <w:r w:rsidRPr="000B073B">
        <w:rPr>
          <w:rFonts w:asciiTheme="majorBidi" w:hAnsiTheme="majorBidi" w:cstheme="majorBidi"/>
          <w:smallCaps/>
        </w:rPr>
        <w:t>86 J. Crim. L. &amp; Criminology</w:t>
      </w:r>
      <w:r w:rsidRPr="000B073B">
        <w:rPr>
          <w:rStyle w:val="documentbody"/>
          <w:rFonts w:asciiTheme="majorBidi" w:hAnsiTheme="majorBidi" w:cstheme="majorBidi"/>
        </w:rPr>
        <w:t xml:space="preserve"> 559, 563 n.7 (1996).</w:t>
      </w:r>
    </w:p>
  </w:footnote>
  <w:footnote w:id="132">
    <w:p w14:paraId="09BFF06E" w14:textId="77777777" w:rsidR="0095491D" w:rsidRPr="000B073B" w:rsidRDefault="0095491D" w:rsidP="00AB45B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R. A. Duff, </w:t>
      </w:r>
      <w:r w:rsidRPr="000B073B">
        <w:rPr>
          <w:rFonts w:asciiTheme="majorBidi" w:hAnsiTheme="majorBidi" w:cstheme="majorBidi"/>
          <w:i/>
          <w:iCs/>
        </w:rPr>
        <w:t>Strict Liability, Legal Presumptions, and the Presumption of Innocence</w:t>
      </w:r>
      <w:r w:rsidRPr="000B073B">
        <w:rPr>
          <w:rFonts w:asciiTheme="majorBidi" w:hAnsiTheme="majorBidi" w:cstheme="majorBidi"/>
        </w:rPr>
        <w:t xml:space="preserve">, </w:t>
      </w:r>
      <w:r w:rsidRPr="000B073B">
        <w:rPr>
          <w:rFonts w:asciiTheme="majorBidi" w:hAnsiTheme="majorBidi" w:cstheme="majorBidi"/>
          <w:i/>
          <w:iCs/>
        </w:rPr>
        <w:t>in</w:t>
      </w:r>
      <w:r w:rsidRPr="000B073B">
        <w:rPr>
          <w:rFonts w:asciiTheme="majorBidi" w:hAnsiTheme="majorBidi" w:cstheme="majorBidi"/>
        </w:rPr>
        <w:t xml:space="preserve"> </w:t>
      </w:r>
      <w:r w:rsidRPr="000B073B">
        <w:rPr>
          <w:rFonts w:asciiTheme="majorBidi" w:hAnsiTheme="majorBidi" w:cstheme="majorBidi"/>
          <w:smallCaps/>
        </w:rPr>
        <w:t xml:space="preserve">Appraising Strict Liability </w:t>
      </w:r>
      <w:r w:rsidRPr="000B073B">
        <w:rPr>
          <w:rFonts w:asciiTheme="majorBidi" w:hAnsiTheme="majorBidi" w:cstheme="majorBidi"/>
        </w:rPr>
        <w:t xml:space="preserve">125, 130 (A.P. </w:t>
      </w:r>
      <w:proofErr w:type="spellStart"/>
      <w:r w:rsidRPr="000B073B">
        <w:rPr>
          <w:rFonts w:asciiTheme="majorBidi" w:hAnsiTheme="majorBidi" w:cstheme="majorBidi"/>
        </w:rPr>
        <w:t>Simester</w:t>
      </w:r>
      <w:proofErr w:type="spellEnd"/>
      <w:r w:rsidRPr="000B073B">
        <w:rPr>
          <w:rFonts w:asciiTheme="majorBidi" w:hAnsiTheme="majorBidi" w:cstheme="majorBidi"/>
        </w:rPr>
        <w:t xml:space="preserve"> ed., 2005) (discussing the Prevention of Corruption Act (1916)).</w:t>
      </w:r>
    </w:p>
  </w:footnote>
  <w:footnote w:id="133">
    <w:p w14:paraId="23775F37" w14:textId="77777777" w:rsidR="0095491D" w:rsidRPr="000B073B" w:rsidRDefault="0095491D" w:rsidP="00E20ECC">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 supra</w:t>
      </w:r>
      <w:r w:rsidRPr="000B073B">
        <w:rPr>
          <w:rFonts w:asciiTheme="majorBidi" w:hAnsiTheme="majorBidi" w:cstheme="majorBidi"/>
        </w:rPr>
        <w:t xml:space="preserve"> notes </w:t>
      </w:r>
      <w:r w:rsidRPr="000B073B">
        <w:rPr>
          <w:rFonts w:asciiTheme="majorBidi" w:hAnsiTheme="majorBidi" w:cstheme="majorBidi"/>
        </w:rPr>
        <w:fldChar w:fldCharType="begin"/>
      </w:r>
      <w:r w:rsidRPr="000B073B">
        <w:rPr>
          <w:rFonts w:asciiTheme="majorBidi" w:hAnsiTheme="majorBidi" w:cstheme="majorBidi"/>
        </w:rPr>
        <w:instrText xml:space="preserve"> NOTEREF _Ref439542233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105</w:t>
      </w:r>
      <w:r w:rsidRPr="000B073B">
        <w:rPr>
          <w:rFonts w:asciiTheme="majorBidi" w:hAnsiTheme="majorBidi" w:cstheme="majorBidi"/>
        </w:rPr>
        <w:fldChar w:fldCharType="end"/>
      </w:r>
      <w:r w:rsidRPr="000B073B">
        <w:rPr>
          <w:rFonts w:asciiTheme="majorBidi" w:hAnsiTheme="majorBidi" w:cstheme="majorBidi"/>
        </w:rPr>
        <w:t>-17 and accompanying text.</w:t>
      </w:r>
    </w:p>
  </w:footnote>
  <w:footnote w:id="134">
    <w:p w14:paraId="358C7DC0"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 xml:space="preserve">See </w:t>
      </w:r>
      <w:r w:rsidRPr="000B073B">
        <w:rPr>
          <w:rFonts w:asciiTheme="majorBidi" w:hAnsiTheme="majorBidi" w:cstheme="majorBidi"/>
        </w:rPr>
        <w:t xml:space="preserve">Larry Alexander, </w:t>
      </w:r>
      <w:r w:rsidRPr="000B073B">
        <w:rPr>
          <w:rFonts w:asciiTheme="majorBidi" w:hAnsiTheme="majorBidi" w:cstheme="majorBidi"/>
          <w:i/>
          <w:iCs/>
        </w:rPr>
        <w:t>Retributivism and the Inadvertent Punishment of the Innocent</w:t>
      </w:r>
      <w:r w:rsidRPr="000B073B">
        <w:rPr>
          <w:rFonts w:asciiTheme="majorBidi" w:hAnsiTheme="majorBidi" w:cstheme="majorBidi"/>
        </w:rPr>
        <w:t xml:space="preserve">, </w:t>
      </w:r>
      <w:proofErr w:type="gramStart"/>
      <w:r w:rsidRPr="000B073B">
        <w:rPr>
          <w:rFonts w:asciiTheme="majorBidi" w:hAnsiTheme="majorBidi" w:cstheme="majorBidi"/>
        </w:rPr>
        <w:t>2</w:t>
      </w:r>
      <w:proofErr w:type="gramEnd"/>
      <w:r w:rsidRPr="000B073B">
        <w:rPr>
          <w:rFonts w:asciiTheme="majorBidi" w:hAnsiTheme="majorBidi" w:cstheme="majorBidi"/>
        </w:rPr>
        <w:t xml:space="preserve"> </w:t>
      </w:r>
      <w:r w:rsidRPr="000B073B">
        <w:rPr>
          <w:rFonts w:asciiTheme="majorBidi" w:hAnsiTheme="majorBidi" w:cstheme="majorBidi"/>
          <w:smallCaps/>
        </w:rPr>
        <w:t>L. &amp; Phil</w:t>
      </w:r>
      <w:r w:rsidRPr="000B073B">
        <w:rPr>
          <w:rFonts w:asciiTheme="majorBidi" w:hAnsiTheme="majorBidi" w:cstheme="majorBidi"/>
        </w:rPr>
        <w:t xml:space="preserve">. 233, 244-46 (1983). </w:t>
      </w:r>
    </w:p>
  </w:footnote>
  <w:footnote w:id="135">
    <w:p w14:paraId="69C0EE23" w14:textId="65A2B925" w:rsidR="0095491D" w:rsidRPr="000B073B" w:rsidRDefault="0095491D" w:rsidP="00567D7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i/>
          <w:iCs/>
        </w:rPr>
        <w:t>e.g.</w:t>
      </w:r>
      <w:r w:rsidRPr="000B073B">
        <w:rPr>
          <w:rFonts w:asciiTheme="majorBidi" w:hAnsiTheme="majorBidi" w:cstheme="majorBidi"/>
        </w:rPr>
        <w:t xml:space="preserve">, </w:t>
      </w:r>
      <w:r w:rsidRPr="000B073B">
        <w:rPr>
          <w:rFonts w:asciiTheme="majorBidi" w:hAnsiTheme="majorBidi" w:cstheme="majorBidi"/>
          <w:i/>
          <w:iCs/>
        </w:rPr>
        <w:t>infra</w:t>
      </w:r>
      <w:r w:rsidRPr="000B073B">
        <w:rPr>
          <w:rFonts w:asciiTheme="majorBidi" w:hAnsiTheme="majorBidi" w:cstheme="majorBidi"/>
        </w:rPr>
        <w:t xml:space="preserve"> notes </w:t>
      </w:r>
      <w:r w:rsidRPr="000B073B">
        <w:rPr>
          <w:rFonts w:asciiTheme="majorBidi" w:hAnsiTheme="majorBidi" w:cstheme="majorBidi"/>
        </w:rPr>
        <w:fldChar w:fldCharType="begin"/>
      </w:r>
      <w:r w:rsidRPr="000B073B">
        <w:rPr>
          <w:rFonts w:asciiTheme="majorBidi" w:hAnsiTheme="majorBidi" w:cstheme="majorBidi"/>
        </w:rPr>
        <w:instrText xml:space="preserve"> NOTEREF _Ref439006166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198</w:t>
      </w:r>
      <w:r w:rsidRPr="000B073B">
        <w:rPr>
          <w:rFonts w:asciiTheme="majorBidi" w:hAnsiTheme="majorBidi" w:cstheme="majorBidi"/>
        </w:rPr>
        <w:fldChar w:fldCharType="end"/>
      </w:r>
      <w:r w:rsidRPr="000B073B">
        <w:rPr>
          <w:rFonts w:asciiTheme="majorBidi" w:hAnsiTheme="majorBidi" w:cstheme="majorBidi"/>
        </w:rPr>
        <w:t>-</w:t>
      </w:r>
      <w:r w:rsidRPr="000B073B">
        <w:rPr>
          <w:rFonts w:asciiTheme="majorBidi" w:hAnsiTheme="majorBidi" w:cstheme="majorBidi"/>
        </w:rPr>
        <w:fldChar w:fldCharType="begin"/>
      </w:r>
      <w:r w:rsidRPr="000B073B">
        <w:rPr>
          <w:rFonts w:asciiTheme="majorBidi" w:hAnsiTheme="majorBidi" w:cstheme="majorBidi"/>
        </w:rPr>
        <w:instrText xml:space="preserve"> NOTEREF _Ref439006168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200</w:t>
      </w:r>
      <w:r w:rsidRPr="000B073B">
        <w:rPr>
          <w:rFonts w:asciiTheme="majorBidi" w:hAnsiTheme="majorBidi" w:cstheme="majorBidi"/>
        </w:rPr>
        <w:fldChar w:fldCharType="end"/>
      </w:r>
      <w:r w:rsidRPr="000B073B">
        <w:rPr>
          <w:rFonts w:asciiTheme="majorBidi" w:hAnsiTheme="majorBidi" w:cstheme="majorBidi"/>
        </w:rPr>
        <w:t xml:space="preserve"> and accompanying text (examining the role of the good-faith defense in the context of strict liability offences).</w:t>
      </w:r>
    </w:p>
  </w:footnote>
  <w:footnote w:id="136">
    <w:p w14:paraId="297CA82E"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Epps,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_Ref432025602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54</w:t>
      </w:r>
      <w:r w:rsidRPr="000B073B">
        <w:rPr>
          <w:rFonts w:asciiTheme="majorBidi" w:hAnsiTheme="majorBidi" w:cstheme="majorBidi"/>
        </w:rPr>
        <w:fldChar w:fldCharType="end"/>
      </w:r>
      <w:r w:rsidRPr="000B073B">
        <w:rPr>
          <w:rFonts w:asciiTheme="majorBidi" w:hAnsiTheme="majorBidi" w:cstheme="majorBidi"/>
        </w:rPr>
        <w:t>, at 1096.</w:t>
      </w:r>
    </w:p>
  </w:footnote>
  <w:footnote w:id="137">
    <w:p w14:paraId="2E4CC308" w14:textId="77777777" w:rsidR="0095491D" w:rsidRPr="000B073B" w:rsidRDefault="0095491D" w:rsidP="004F54A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smallCaps/>
        </w:rPr>
        <w:t xml:space="preserve">Edgar F. </w:t>
      </w:r>
      <w:proofErr w:type="spellStart"/>
      <w:r w:rsidRPr="000B073B">
        <w:rPr>
          <w:rFonts w:asciiTheme="majorBidi" w:hAnsiTheme="majorBidi" w:cstheme="majorBidi"/>
          <w:smallCaps/>
        </w:rPr>
        <w:t>Carritt</w:t>
      </w:r>
      <w:proofErr w:type="spellEnd"/>
      <w:r w:rsidRPr="000B073B">
        <w:rPr>
          <w:rFonts w:asciiTheme="majorBidi" w:hAnsiTheme="majorBidi" w:cstheme="majorBidi"/>
          <w:smallCaps/>
        </w:rPr>
        <w:t>, Ethical and Political Thinking</w:t>
      </w:r>
      <w:r w:rsidRPr="000B073B">
        <w:rPr>
          <w:rFonts w:asciiTheme="majorBidi" w:hAnsiTheme="majorBidi" w:cstheme="majorBidi"/>
        </w:rPr>
        <w:t xml:space="preserve"> 65 (1947). </w:t>
      </w:r>
    </w:p>
  </w:footnote>
  <w:footnote w:id="138">
    <w:p w14:paraId="51E2C6F9"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John Rawls, </w:t>
      </w:r>
      <w:r w:rsidRPr="000B073B">
        <w:rPr>
          <w:rFonts w:asciiTheme="majorBidi" w:hAnsiTheme="majorBidi" w:cstheme="majorBidi"/>
          <w:i/>
          <w:iCs/>
        </w:rPr>
        <w:t>Two Concepts of Rules</w:t>
      </w:r>
      <w:r w:rsidRPr="000B073B">
        <w:rPr>
          <w:rFonts w:asciiTheme="majorBidi" w:hAnsiTheme="majorBidi" w:cstheme="majorBidi"/>
        </w:rPr>
        <w:t xml:space="preserve">, 64 </w:t>
      </w:r>
      <w:r w:rsidRPr="000B073B">
        <w:rPr>
          <w:rFonts w:asciiTheme="majorBidi" w:hAnsiTheme="majorBidi" w:cstheme="majorBidi"/>
          <w:smallCaps/>
        </w:rPr>
        <w:t>Phil. Rev</w:t>
      </w:r>
      <w:r w:rsidRPr="000B073B">
        <w:rPr>
          <w:rFonts w:asciiTheme="majorBidi" w:hAnsiTheme="majorBidi" w:cstheme="majorBidi"/>
        </w:rPr>
        <w:t>. 3, 10–12 (1955).</w:t>
      </w:r>
    </w:p>
  </w:footnote>
  <w:footnote w:id="139">
    <w:p w14:paraId="03F819B9"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w:t>
      </w:r>
    </w:p>
  </w:footnote>
  <w:footnote w:id="140">
    <w:p w14:paraId="5FFF8AD3"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supra</w:t>
      </w:r>
      <w:r w:rsidRPr="000B073B">
        <w:rPr>
          <w:rFonts w:asciiTheme="majorBidi" w:hAnsiTheme="majorBidi" w:cstheme="majorBidi"/>
        </w:rPr>
        <w:t xml:space="preserve"> notes </w:t>
      </w:r>
      <w:r w:rsidRPr="000B073B">
        <w:rPr>
          <w:rFonts w:asciiTheme="majorBidi" w:hAnsiTheme="majorBidi" w:cstheme="majorBidi"/>
        </w:rPr>
        <w:fldChar w:fldCharType="begin"/>
      </w:r>
      <w:r w:rsidRPr="000B073B">
        <w:rPr>
          <w:rFonts w:asciiTheme="majorBidi" w:hAnsiTheme="majorBidi" w:cstheme="majorBidi"/>
        </w:rPr>
        <w:instrText xml:space="preserve"> NOTEREF _Ref432077118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68</w:t>
      </w:r>
      <w:r w:rsidRPr="000B073B">
        <w:rPr>
          <w:rFonts w:asciiTheme="majorBidi" w:hAnsiTheme="majorBidi" w:cstheme="majorBidi"/>
        </w:rPr>
        <w:fldChar w:fldCharType="end"/>
      </w:r>
      <w:r w:rsidRPr="000B073B">
        <w:rPr>
          <w:rFonts w:asciiTheme="majorBidi" w:hAnsiTheme="majorBidi" w:cstheme="majorBidi"/>
        </w:rPr>
        <w:t>-</w:t>
      </w:r>
      <w:r w:rsidRPr="000B073B">
        <w:rPr>
          <w:rFonts w:asciiTheme="majorBidi" w:hAnsiTheme="majorBidi" w:cstheme="majorBidi"/>
        </w:rPr>
        <w:fldChar w:fldCharType="begin"/>
      </w:r>
      <w:r w:rsidRPr="000B073B">
        <w:rPr>
          <w:rFonts w:asciiTheme="majorBidi" w:hAnsiTheme="majorBidi" w:cstheme="majorBidi"/>
        </w:rPr>
        <w:instrText xml:space="preserve"> NOTEREF _Ref432077123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94</w:t>
      </w:r>
      <w:r w:rsidRPr="000B073B">
        <w:rPr>
          <w:rFonts w:asciiTheme="majorBidi" w:hAnsiTheme="majorBidi" w:cstheme="majorBidi"/>
        </w:rPr>
        <w:fldChar w:fldCharType="end"/>
      </w:r>
      <w:r w:rsidRPr="000B073B">
        <w:rPr>
          <w:rFonts w:asciiTheme="majorBidi" w:hAnsiTheme="majorBidi" w:cstheme="majorBidi"/>
        </w:rPr>
        <w:t xml:space="preserve"> and accompanying text. </w:t>
      </w:r>
    </w:p>
  </w:footnote>
  <w:footnote w:id="141">
    <w:p w14:paraId="697D9877" w14:textId="227B6990" w:rsidR="0095491D" w:rsidRPr="000B073B" w:rsidRDefault="0095491D" w:rsidP="00D53462">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supra</w:t>
      </w:r>
      <w:r w:rsidRPr="000B073B">
        <w:rPr>
          <w:rFonts w:asciiTheme="majorBidi" w:hAnsiTheme="majorBidi" w:cstheme="majorBidi"/>
        </w:rPr>
        <w:t xml:space="preserve"> notes </w:t>
      </w:r>
      <w:r w:rsidRPr="000B073B">
        <w:rPr>
          <w:rFonts w:asciiTheme="majorBidi" w:hAnsiTheme="majorBidi" w:cstheme="majorBidi"/>
        </w:rPr>
        <w:fldChar w:fldCharType="begin"/>
      </w:r>
      <w:r w:rsidRPr="000B073B">
        <w:rPr>
          <w:rFonts w:asciiTheme="majorBidi" w:hAnsiTheme="majorBidi" w:cstheme="majorBidi"/>
        </w:rPr>
        <w:instrText xml:space="preserve"> NOTEREF _Ref442089815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100</w:t>
      </w:r>
      <w:r w:rsidRPr="000B073B">
        <w:rPr>
          <w:rFonts w:asciiTheme="majorBidi" w:hAnsiTheme="majorBidi" w:cstheme="majorBidi"/>
        </w:rPr>
        <w:fldChar w:fldCharType="end"/>
      </w:r>
      <w:r w:rsidRPr="000B073B">
        <w:rPr>
          <w:rFonts w:asciiTheme="majorBidi" w:hAnsiTheme="majorBidi" w:cstheme="majorBidi"/>
        </w:rPr>
        <w:t>-</w:t>
      </w:r>
      <w:r w:rsidRPr="000B073B">
        <w:rPr>
          <w:rFonts w:asciiTheme="majorBidi" w:hAnsiTheme="majorBidi" w:cstheme="majorBidi"/>
        </w:rPr>
        <w:fldChar w:fldCharType="begin"/>
      </w:r>
      <w:r w:rsidRPr="000B073B">
        <w:rPr>
          <w:rFonts w:asciiTheme="majorBidi" w:hAnsiTheme="majorBidi" w:cstheme="majorBidi"/>
        </w:rPr>
        <w:instrText xml:space="preserve"> NOTEREF _Ref442089827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104</w:t>
      </w:r>
      <w:r w:rsidRPr="000B073B">
        <w:rPr>
          <w:rFonts w:asciiTheme="majorBidi" w:hAnsiTheme="majorBidi" w:cstheme="majorBidi"/>
        </w:rPr>
        <w:fldChar w:fldCharType="end"/>
      </w:r>
      <w:r w:rsidRPr="000B073B">
        <w:rPr>
          <w:rFonts w:asciiTheme="majorBidi" w:hAnsiTheme="majorBidi" w:cstheme="majorBidi"/>
        </w:rPr>
        <w:t xml:space="preserve"> and accompanying text. </w:t>
      </w:r>
    </w:p>
  </w:footnote>
  <w:footnote w:id="142">
    <w:p w14:paraId="124F08F1" w14:textId="77777777" w:rsidR="0095491D" w:rsidRPr="000B073B" w:rsidRDefault="0095491D" w:rsidP="00774B8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Immanuel Kant</w:t>
      </w:r>
      <w:r w:rsidRPr="000B073B">
        <w:rPr>
          <w:rFonts w:asciiTheme="majorBidi" w:hAnsiTheme="majorBidi" w:cstheme="majorBidi"/>
        </w:rPr>
        <w:t xml:space="preserve">, </w:t>
      </w:r>
      <w:r w:rsidRPr="000B073B">
        <w:rPr>
          <w:rStyle w:val="Emphasis"/>
          <w:rFonts w:asciiTheme="majorBidi" w:hAnsiTheme="majorBidi" w:cstheme="majorBidi"/>
          <w:i w:val="0"/>
          <w:iCs w:val="0"/>
          <w:smallCaps/>
        </w:rPr>
        <w:t>The Metaphysical Elements of Justice</w:t>
      </w:r>
      <w:r w:rsidRPr="000B073B">
        <w:rPr>
          <w:rFonts w:asciiTheme="majorBidi" w:hAnsiTheme="majorBidi" w:cstheme="majorBidi"/>
        </w:rPr>
        <w:t xml:space="preserve"> 100 (J. Ladd trans., Hackett </w:t>
      </w:r>
      <w:proofErr w:type="spellStart"/>
      <w:r w:rsidRPr="000B073B">
        <w:rPr>
          <w:rFonts w:asciiTheme="majorBidi" w:hAnsiTheme="majorBidi" w:cstheme="majorBidi"/>
        </w:rPr>
        <w:t>Publ'g</w:t>
      </w:r>
      <w:proofErr w:type="spellEnd"/>
      <w:r w:rsidRPr="000B073B">
        <w:rPr>
          <w:rFonts w:asciiTheme="majorBidi" w:hAnsiTheme="majorBidi" w:cstheme="majorBidi"/>
        </w:rPr>
        <w:t xml:space="preserve"> Co., 2d ed., 1999) (1780).</w:t>
      </w:r>
    </w:p>
  </w:footnote>
  <w:footnote w:id="143">
    <w:p w14:paraId="7D16B4C1" w14:textId="77777777" w:rsidR="0095491D" w:rsidRPr="000B073B" w:rsidRDefault="0095491D" w:rsidP="006779F0">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Pr>
        <w:t xml:space="preserve"> </w:t>
      </w:r>
      <w:r w:rsidRPr="000B073B">
        <w:rPr>
          <w:rFonts w:asciiTheme="majorBidi" w:hAnsiTheme="majorBidi" w:cstheme="majorBidi"/>
          <w:i/>
          <w:iCs/>
          <w:sz w:val="20"/>
          <w:szCs w:val="20"/>
        </w:rPr>
        <w:t>See, e.g.</w:t>
      </w:r>
      <w:r w:rsidRPr="000B073B">
        <w:rPr>
          <w:rFonts w:asciiTheme="majorBidi" w:hAnsiTheme="majorBidi" w:cstheme="majorBidi"/>
          <w:sz w:val="20"/>
          <w:szCs w:val="20"/>
        </w:rPr>
        <w:t xml:space="preserve">, Eyal Zamir &amp; Barak Medina, </w:t>
      </w:r>
      <w:r w:rsidRPr="000B073B">
        <w:rPr>
          <w:rFonts w:asciiTheme="majorBidi" w:hAnsiTheme="majorBidi" w:cstheme="majorBidi"/>
          <w:i/>
          <w:iCs/>
          <w:sz w:val="20"/>
          <w:szCs w:val="20"/>
        </w:rPr>
        <w:t>Law, Morality, and Economics: Integrating Moral Constraints with Economic Analysis of Law</w:t>
      </w:r>
      <w:r w:rsidRPr="000B073B">
        <w:rPr>
          <w:rFonts w:asciiTheme="majorBidi" w:hAnsiTheme="majorBidi" w:cstheme="majorBidi"/>
          <w:sz w:val="20"/>
          <w:szCs w:val="20"/>
        </w:rPr>
        <w:t xml:space="preserve">, 96 </w:t>
      </w:r>
      <w:r w:rsidRPr="000B073B">
        <w:rPr>
          <w:rFonts w:asciiTheme="majorBidi" w:hAnsiTheme="majorBidi" w:cstheme="majorBidi"/>
          <w:smallCaps/>
          <w:sz w:val="20"/>
          <w:szCs w:val="20"/>
        </w:rPr>
        <w:t>Cal. L. Rev</w:t>
      </w:r>
      <w:r w:rsidRPr="000B073B">
        <w:rPr>
          <w:rFonts w:asciiTheme="majorBidi" w:hAnsiTheme="majorBidi" w:cstheme="majorBidi"/>
          <w:sz w:val="20"/>
          <w:szCs w:val="20"/>
        </w:rPr>
        <w:t>. 323, 326 (</w:t>
      </w:r>
      <w:proofErr w:type="gramStart"/>
      <w:r w:rsidRPr="000B073B">
        <w:rPr>
          <w:rFonts w:asciiTheme="majorBidi" w:hAnsiTheme="majorBidi" w:cstheme="majorBidi"/>
          <w:sz w:val="20"/>
          <w:szCs w:val="20"/>
        </w:rPr>
        <w:t>noting that</w:t>
      </w:r>
      <w:proofErr w:type="gramEnd"/>
      <w:r w:rsidRPr="000B073B">
        <w:rPr>
          <w:rFonts w:asciiTheme="majorBidi" w:hAnsiTheme="majorBidi" w:cstheme="majorBidi"/>
          <w:sz w:val="20"/>
          <w:szCs w:val="20"/>
        </w:rPr>
        <w:t xml:space="preserve"> “prevailing deontological theories are </w:t>
      </w:r>
      <w:r w:rsidRPr="000B073B">
        <w:rPr>
          <w:rFonts w:asciiTheme="majorBidi" w:hAnsiTheme="majorBidi" w:cstheme="majorBidi"/>
          <w:i/>
          <w:iCs/>
          <w:sz w:val="20"/>
          <w:szCs w:val="20"/>
        </w:rPr>
        <w:t>moderate</w:t>
      </w:r>
      <w:r w:rsidRPr="000B073B">
        <w:rPr>
          <w:rFonts w:asciiTheme="majorBidi" w:hAnsiTheme="majorBidi" w:cstheme="majorBidi"/>
          <w:sz w:val="20"/>
          <w:szCs w:val="20"/>
        </w:rPr>
        <w:t xml:space="preserve"> rather than </w:t>
      </w:r>
      <w:r w:rsidRPr="000B073B">
        <w:rPr>
          <w:rFonts w:asciiTheme="majorBidi" w:hAnsiTheme="majorBidi" w:cstheme="majorBidi"/>
          <w:i/>
          <w:iCs/>
          <w:sz w:val="20"/>
          <w:szCs w:val="20"/>
        </w:rPr>
        <w:t>absolutist</w:t>
      </w:r>
      <w:r w:rsidRPr="000B073B">
        <w:rPr>
          <w:rFonts w:asciiTheme="majorBidi" w:hAnsiTheme="majorBidi" w:cstheme="majorBidi"/>
          <w:sz w:val="20"/>
          <w:szCs w:val="20"/>
        </w:rPr>
        <w:t>”).</w:t>
      </w:r>
    </w:p>
  </w:footnote>
  <w:footnote w:id="144">
    <w:p w14:paraId="6B213A96" w14:textId="77777777" w:rsidR="0095491D" w:rsidRPr="000B073B" w:rsidRDefault="0095491D" w:rsidP="006651BA">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Pr>
        <w:t xml:space="preserve"> Larry Alexander and Kimberly Kessler Ferzan’s analysis can serve as case in point. After presenting their comprehensive theory of substantive criminal law, they dedicate one paragraph at the backend of their book to deal with the burden of proof. In this brief discussion they simply note that “one needs a richer theory than we have developed here to account for how this trade-off [between type 1 and type 2 errors] can be made and thus to assess whether the reasonable doubt standard strikes the correct balance.”</w:t>
      </w:r>
      <w:r w:rsidRPr="000B073B">
        <w:rPr>
          <w:rFonts w:asciiTheme="majorBidi" w:hAnsiTheme="majorBidi" w:cstheme="majorBidi"/>
          <w:smallCaps/>
          <w:sz w:val="20"/>
          <w:szCs w:val="20"/>
        </w:rPr>
        <w:t xml:space="preserve"> Larry Alexander &amp; Kimberly Kessler Ferzan, Crime and Culpability: A Theory of Criminal Law</w:t>
      </w:r>
      <w:r w:rsidRPr="000B073B">
        <w:rPr>
          <w:rFonts w:asciiTheme="majorBidi" w:hAnsiTheme="majorBidi" w:cstheme="majorBidi"/>
          <w:sz w:val="20"/>
          <w:szCs w:val="20"/>
        </w:rPr>
        <w:t xml:space="preserve"> 323 (2009). </w:t>
      </w:r>
      <w:proofErr w:type="gramStart"/>
      <w:r w:rsidRPr="000B073B">
        <w:rPr>
          <w:rFonts w:asciiTheme="majorBidi" w:hAnsiTheme="majorBidi" w:cstheme="majorBidi"/>
          <w:i/>
          <w:iCs/>
          <w:sz w:val="20"/>
          <w:szCs w:val="20"/>
        </w:rPr>
        <w:t>See also</w:t>
      </w:r>
      <w:r w:rsidRPr="000B073B">
        <w:rPr>
          <w:rFonts w:asciiTheme="majorBidi" w:hAnsiTheme="majorBidi" w:cstheme="majorBidi"/>
          <w:sz w:val="20"/>
          <w:szCs w:val="20"/>
        </w:rPr>
        <w:t xml:space="preserve"> </w:t>
      </w:r>
      <w:proofErr w:type="spellStart"/>
      <w:r w:rsidRPr="000B073B">
        <w:rPr>
          <w:rFonts w:asciiTheme="majorBidi" w:hAnsiTheme="majorBidi" w:cstheme="majorBidi"/>
          <w:sz w:val="20"/>
          <w:szCs w:val="20"/>
        </w:rPr>
        <w:t>Bierschbach</w:t>
      </w:r>
      <w:proofErr w:type="spellEnd"/>
      <w:r w:rsidRPr="000B073B">
        <w:rPr>
          <w:rFonts w:asciiTheme="majorBidi" w:hAnsiTheme="majorBidi" w:cstheme="majorBidi"/>
          <w:sz w:val="20"/>
          <w:szCs w:val="20"/>
        </w:rPr>
        <w:t xml:space="preserve"> &amp; Stein, </w:t>
      </w:r>
      <w:r w:rsidRPr="000B073B">
        <w:rPr>
          <w:rFonts w:asciiTheme="majorBidi" w:hAnsiTheme="majorBidi" w:cstheme="majorBidi"/>
          <w:i/>
          <w:iCs/>
          <w:sz w:val="20"/>
          <w:szCs w:val="20"/>
        </w:rPr>
        <w:t>supra</w:t>
      </w:r>
      <w:r w:rsidRPr="000B073B">
        <w:rPr>
          <w:rFonts w:asciiTheme="majorBidi" w:hAnsiTheme="majorBidi" w:cstheme="majorBidi"/>
          <w:sz w:val="20"/>
          <w:szCs w:val="20"/>
        </w:rPr>
        <w:t xml:space="preserve"> note 10, at 111 (noting that retributivist have “little to say about the precise evidentiary rules that should govern the imposition of liability and punishment”); and Epps, </w:t>
      </w:r>
      <w:r w:rsidRPr="000B073B">
        <w:rPr>
          <w:rFonts w:asciiTheme="majorBidi" w:hAnsiTheme="majorBidi" w:cstheme="majorBidi"/>
          <w:i/>
          <w:iCs/>
          <w:sz w:val="20"/>
          <w:szCs w:val="20"/>
        </w:rPr>
        <w:t>supra</w:t>
      </w:r>
      <w:r w:rsidRPr="000B073B">
        <w:rPr>
          <w:rFonts w:asciiTheme="majorBidi" w:hAnsiTheme="majorBidi" w:cstheme="majorBidi"/>
          <w:sz w:val="20"/>
          <w:szCs w:val="20"/>
        </w:rPr>
        <w:t xml:space="preserve"> note </w:t>
      </w:r>
      <w:r w:rsidRPr="000B073B">
        <w:rPr>
          <w:rFonts w:asciiTheme="majorBidi" w:hAnsiTheme="majorBidi" w:cstheme="majorBidi"/>
          <w:sz w:val="20"/>
          <w:szCs w:val="20"/>
        </w:rPr>
        <w:fldChar w:fldCharType="begin"/>
      </w:r>
      <w:r w:rsidRPr="000B073B">
        <w:rPr>
          <w:rFonts w:asciiTheme="majorBidi" w:hAnsiTheme="majorBidi" w:cstheme="majorBidi"/>
          <w:sz w:val="20"/>
          <w:szCs w:val="20"/>
        </w:rPr>
        <w:instrText xml:space="preserve"> NOTEREF _Ref432025602 \h  \* MERGEFORMAT </w:instrText>
      </w:r>
      <w:r w:rsidRPr="000B073B">
        <w:rPr>
          <w:rFonts w:asciiTheme="majorBidi" w:hAnsiTheme="majorBidi" w:cstheme="majorBidi"/>
          <w:sz w:val="20"/>
          <w:szCs w:val="20"/>
        </w:rPr>
      </w:r>
      <w:r w:rsidRPr="000B073B">
        <w:rPr>
          <w:rFonts w:asciiTheme="majorBidi" w:hAnsiTheme="majorBidi" w:cstheme="majorBidi"/>
          <w:sz w:val="20"/>
          <w:szCs w:val="20"/>
        </w:rPr>
        <w:fldChar w:fldCharType="separate"/>
      </w:r>
      <w:r w:rsidRPr="000B073B">
        <w:rPr>
          <w:rFonts w:asciiTheme="majorBidi" w:hAnsiTheme="majorBidi" w:cstheme="majorBidi"/>
          <w:sz w:val="20"/>
          <w:szCs w:val="20"/>
        </w:rPr>
        <w:t>54</w:t>
      </w:r>
      <w:r w:rsidRPr="000B073B">
        <w:rPr>
          <w:rFonts w:asciiTheme="majorBidi" w:hAnsiTheme="majorBidi" w:cstheme="majorBidi"/>
          <w:sz w:val="20"/>
          <w:szCs w:val="20"/>
        </w:rPr>
        <w:fldChar w:fldCharType="end"/>
      </w:r>
      <w:r w:rsidRPr="000B073B">
        <w:rPr>
          <w:rFonts w:asciiTheme="majorBidi" w:hAnsiTheme="majorBidi" w:cstheme="majorBidi"/>
          <w:sz w:val="20"/>
          <w:szCs w:val="20"/>
        </w:rPr>
        <w:t xml:space="preserve">, at 1137 (noting that Dworkin and other legal philosophers have not been “able to articulate precisely </w:t>
      </w:r>
      <w:r w:rsidRPr="000B073B">
        <w:rPr>
          <w:rFonts w:asciiTheme="majorBidi" w:hAnsiTheme="majorBidi" w:cstheme="majorBidi"/>
          <w:i/>
          <w:iCs/>
          <w:sz w:val="20"/>
          <w:szCs w:val="20"/>
        </w:rPr>
        <w:t xml:space="preserve">how much </w:t>
      </w:r>
      <w:r w:rsidRPr="000B073B">
        <w:rPr>
          <w:rFonts w:asciiTheme="majorBidi" w:hAnsiTheme="majorBidi" w:cstheme="majorBidi"/>
          <w:sz w:val="20"/>
          <w:szCs w:val="20"/>
        </w:rPr>
        <w:t xml:space="preserve">we’re supposed to prefer errors of </w:t>
      </w:r>
      <w:proofErr w:type="spellStart"/>
      <w:r w:rsidRPr="000B073B">
        <w:rPr>
          <w:rFonts w:asciiTheme="majorBidi" w:hAnsiTheme="majorBidi" w:cstheme="majorBidi"/>
          <w:sz w:val="20"/>
          <w:szCs w:val="20"/>
        </w:rPr>
        <w:t>nonpunishment</w:t>
      </w:r>
      <w:proofErr w:type="spellEnd"/>
      <w:r w:rsidRPr="000B073B">
        <w:rPr>
          <w:rFonts w:asciiTheme="majorBidi" w:hAnsiTheme="majorBidi" w:cstheme="majorBidi"/>
          <w:sz w:val="20"/>
          <w:szCs w:val="20"/>
        </w:rPr>
        <w:t xml:space="preserve"> to errors of punishment”).</w:t>
      </w:r>
      <w:proofErr w:type="gramEnd"/>
    </w:p>
  </w:footnote>
  <w:footnote w:id="145">
    <w:p w14:paraId="74D16AAD" w14:textId="77777777" w:rsidR="0095491D" w:rsidRPr="000B073B" w:rsidRDefault="0095491D" w:rsidP="006651B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Interestingly,</w:t>
      </w:r>
      <w:r w:rsidRPr="000B073B">
        <w:rPr>
          <w:rFonts w:asciiTheme="majorBidi" w:hAnsiTheme="majorBidi" w:cstheme="majorBidi"/>
          <w:rtl/>
        </w:rPr>
        <w:t xml:space="preserve"> </w:t>
      </w:r>
      <w:r w:rsidRPr="000B073B">
        <w:rPr>
          <w:rFonts w:asciiTheme="majorBidi" w:hAnsiTheme="majorBidi" w:cstheme="majorBidi"/>
        </w:rPr>
        <w:t xml:space="preserve">tort law has long since recognized that evidentiary harm may generate a duty on behalf of the tortfeasor to compensate the victim. For an analysis of the concept of evidentiary harms in torts, see Ariel Porat &amp; Alex Stein, </w:t>
      </w:r>
      <w:r w:rsidRPr="000B073B">
        <w:rPr>
          <w:rStyle w:val="citetitle"/>
          <w:rFonts w:asciiTheme="majorBidi" w:hAnsiTheme="majorBidi" w:cstheme="majorBidi"/>
          <w:i/>
          <w:iCs/>
        </w:rPr>
        <w:t>Liability for Uncertainty: Making Evidential Damage Actionable</w:t>
      </w:r>
      <w:r w:rsidRPr="000B073B">
        <w:rPr>
          <w:rStyle w:val="citetitle"/>
          <w:rFonts w:asciiTheme="majorBidi" w:hAnsiTheme="majorBidi" w:cstheme="majorBidi"/>
        </w:rPr>
        <w:t xml:space="preserve">, 18 </w:t>
      </w:r>
      <w:r w:rsidRPr="000B073B">
        <w:rPr>
          <w:rStyle w:val="citetitle"/>
          <w:rFonts w:asciiTheme="majorBidi" w:hAnsiTheme="majorBidi" w:cstheme="majorBidi"/>
          <w:smallCaps/>
        </w:rPr>
        <w:t>Cardozo L. Rev</w:t>
      </w:r>
      <w:r w:rsidRPr="000B073B">
        <w:rPr>
          <w:rStyle w:val="citetitle"/>
          <w:rFonts w:asciiTheme="majorBidi" w:hAnsiTheme="majorBidi" w:cstheme="majorBidi"/>
        </w:rPr>
        <w:t>. 1891 (1997).</w:t>
      </w:r>
    </w:p>
  </w:footnote>
  <w:footnote w:id="146">
    <w:p w14:paraId="20F65521"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smallCaps/>
        </w:rPr>
        <w:t xml:space="preserve">Douglas </w:t>
      </w:r>
      <w:proofErr w:type="spellStart"/>
      <w:r w:rsidRPr="000B073B">
        <w:rPr>
          <w:rFonts w:asciiTheme="majorBidi" w:hAnsiTheme="majorBidi" w:cstheme="majorBidi"/>
          <w:smallCaps/>
        </w:rPr>
        <w:t>Husak</w:t>
      </w:r>
      <w:proofErr w:type="spellEnd"/>
      <w:r w:rsidRPr="000B073B">
        <w:rPr>
          <w:rFonts w:asciiTheme="majorBidi" w:hAnsiTheme="majorBidi" w:cstheme="majorBidi"/>
          <w:smallCaps/>
        </w:rPr>
        <w:t>, The Philosophy of Criminal Law: Selected Essays 23-31 (2010)</w:t>
      </w:r>
      <w:r w:rsidRPr="000B073B">
        <w:rPr>
          <w:rFonts w:asciiTheme="majorBidi" w:hAnsiTheme="majorBidi" w:cstheme="majorBidi"/>
        </w:rPr>
        <w:t xml:space="preserve">. For a comprehensive analysis of the act </w:t>
      </w:r>
      <w:proofErr w:type="gramStart"/>
      <w:r w:rsidRPr="000B073B">
        <w:rPr>
          <w:rFonts w:asciiTheme="majorBidi" w:hAnsiTheme="majorBidi" w:cstheme="majorBidi"/>
        </w:rPr>
        <w:t>requirement</w:t>
      </w:r>
      <w:proofErr w:type="gramEnd"/>
      <w:r w:rsidRPr="000B073B">
        <w:rPr>
          <w:rFonts w:asciiTheme="majorBidi" w:hAnsiTheme="majorBidi" w:cstheme="majorBidi"/>
        </w:rPr>
        <w:t xml:space="preserve"> see </w:t>
      </w:r>
      <w:r w:rsidRPr="000B073B">
        <w:rPr>
          <w:rFonts w:asciiTheme="majorBidi" w:hAnsiTheme="majorBidi" w:cstheme="majorBidi"/>
          <w:smallCaps/>
        </w:rPr>
        <w:t>Michael S. Moore, Act and Crime</w:t>
      </w:r>
      <w:r w:rsidRPr="000B073B">
        <w:rPr>
          <w:rFonts w:asciiTheme="majorBidi" w:hAnsiTheme="majorBidi" w:cstheme="majorBidi"/>
        </w:rPr>
        <w:t xml:space="preserve"> (1993).  </w:t>
      </w:r>
    </w:p>
  </w:footnote>
  <w:footnote w:id="147">
    <w:p w14:paraId="252C8438"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Richard H. McAdams, </w:t>
      </w:r>
      <w:r w:rsidRPr="000B073B">
        <w:rPr>
          <w:rFonts w:asciiTheme="majorBidi" w:hAnsiTheme="majorBidi" w:cstheme="majorBidi"/>
          <w:i/>
          <w:iCs/>
        </w:rPr>
        <w:t>The Political Economy of Entrapment</w:t>
      </w:r>
      <w:r w:rsidRPr="000B073B">
        <w:rPr>
          <w:rFonts w:asciiTheme="majorBidi" w:hAnsiTheme="majorBidi" w:cstheme="majorBidi"/>
        </w:rPr>
        <w:t xml:space="preserve">, 96 </w:t>
      </w:r>
      <w:r w:rsidRPr="000B073B">
        <w:rPr>
          <w:rFonts w:asciiTheme="majorBidi" w:hAnsiTheme="majorBidi" w:cstheme="majorBidi"/>
          <w:smallCaps/>
        </w:rPr>
        <w:t>J. Crim. L. &amp; Criminology</w:t>
      </w:r>
      <w:r w:rsidRPr="000B073B">
        <w:rPr>
          <w:rFonts w:asciiTheme="majorBidi" w:hAnsiTheme="majorBidi" w:cstheme="majorBidi"/>
        </w:rPr>
        <w:t xml:space="preserve"> 107, 160 (2005).</w:t>
      </w:r>
    </w:p>
  </w:footnote>
  <w:footnote w:id="148">
    <w:p w14:paraId="37D918C8" w14:textId="77777777" w:rsidR="0095491D" w:rsidRPr="000B073B" w:rsidRDefault="0095491D" w:rsidP="00242D39">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at 160-61.</w:t>
      </w:r>
    </w:p>
  </w:footnote>
  <w:footnote w:id="149">
    <w:p w14:paraId="1E989297"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xml:space="preserve">. </w:t>
      </w:r>
    </w:p>
  </w:footnote>
  <w:footnote w:id="150">
    <w:p w14:paraId="5E3C6DD7"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xml:space="preserve">. </w:t>
      </w:r>
    </w:p>
  </w:footnote>
  <w:footnote w:id="151">
    <w:p w14:paraId="4F4EB9C8" w14:textId="77777777" w:rsidR="0095491D" w:rsidRPr="000B073B" w:rsidRDefault="0095491D" w:rsidP="00715BC6">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18 </w:t>
      </w:r>
      <w:r w:rsidRPr="000B073B">
        <w:rPr>
          <w:rFonts w:asciiTheme="majorBidi" w:hAnsiTheme="majorBidi" w:cstheme="majorBidi"/>
          <w:smallCaps/>
        </w:rPr>
        <w:t>U.S.C</w:t>
      </w:r>
      <w:r w:rsidRPr="000B073B">
        <w:rPr>
          <w:rFonts w:asciiTheme="majorBidi" w:hAnsiTheme="majorBidi" w:cstheme="majorBidi"/>
        </w:rPr>
        <w:t xml:space="preserve"> §201(c) (2016) (criminalizing gratuities)</w:t>
      </w:r>
      <w:proofErr w:type="gramStart"/>
      <w:r w:rsidRPr="000B073B">
        <w:rPr>
          <w:rFonts w:asciiTheme="majorBidi" w:hAnsiTheme="majorBidi" w:cstheme="majorBidi"/>
        </w:rPr>
        <w:t>;</w:t>
      </w:r>
      <w:proofErr w:type="gramEnd"/>
      <w:r w:rsidRPr="000B073B">
        <w:rPr>
          <w:rFonts w:asciiTheme="majorBidi" w:hAnsiTheme="majorBidi" w:cstheme="majorBidi"/>
        </w:rPr>
        <w:t xml:space="preserve"> 18 </w:t>
      </w:r>
      <w:r w:rsidRPr="000B073B">
        <w:rPr>
          <w:rFonts w:asciiTheme="majorBidi" w:hAnsiTheme="majorBidi" w:cstheme="majorBidi"/>
          <w:smallCaps/>
        </w:rPr>
        <w:t>U.S.C</w:t>
      </w:r>
      <w:r w:rsidRPr="000B073B">
        <w:rPr>
          <w:rFonts w:asciiTheme="majorBidi" w:hAnsiTheme="majorBidi" w:cstheme="majorBidi"/>
        </w:rPr>
        <w:t xml:space="preserve"> §208(a) (2016) (criminalizing conflict of interest). </w:t>
      </w:r>
    </w:p>
  </w:footnote>
  <w:footnote w:id="152">
    <w:p w14:paraId="1A39FDFB" w14:textId="77777777" w:rsidR="0095491D" w:rsidRPr="000B073B" w:rsidRDefault="0095491D" w:rsidP="00806DF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Style w:val="documentbody"/>
          <w:rFonts w:asciiTheme="majorBidi" w:hAnsiTheme="majorBidi" w:cstheme="majorBidi"/>
        </w:rPr>
        <w:t xml:space="preserve">George D. Brown, </w:t>
      </w:r>
      <w:r w:rsidRPr="000B073B">
        <w:rPr>
          <w:rStyle w:val="documentbody"/>
          <w:rFonts w:asciiTheme="majorBidi" w:hAnsiTheme="majorBidi" w:cstheme="majorBidi"/>
          <w:i/>
          <w:iCs/>
        </w:rPr>
        <w:t xml:space="preserve">Putting Watergate Behind Us—Salinas, Sun-Diamond, and </w:t>
      </w:r>
      <w:proofErr w:type="gramStart"/>
      <w:r w:rsidRPr="000B073B">
        <w:rPr>
          <w:rStyle w:val="documentbody"/>
          <w:rFonts w:asciiTheme="majorBidi" w:hAnsiTheme="majorBidi" w:cstheme="majorBidi"/>
          <w:i/>
          <w:iCs/>
        </w:rPr>
        <w:t>Two</w:t>
      </w:r>
      <w:proofErr w:type="gramEnd"/>
      <w:r w:rsidRPr="000B073B">
        <w:rPr>
          <w:rStyle w:val="documentbody"/>
          <w:rFonts w:asciiTheme="majorBidi" w:hAnsiTheme="majorBidi" w:cstheme="majorBidi"/>
          <w:i/>
          <w:iCs/>
        </w:rPr>
        <w:t xml:space="preserve"> Views of the Anticorruption Model</w:t>
      </w:r>
      <w:r w:rsidRPr="000B073B">
        <w:rPr>
          <w:rStyle w:val="documentbody"/>
          <w:rFonts w:asciiTheme="majorBidi" w:hAnsiTheme="majorBidi" w:cstheme="majorBidi"/>
        </w:rPr>
        <w:t xml:space="preserve">, 74 </w:t>
      </w:r>
      <w:proofErr w:type="spellStart"/>
      <w:r w:rsidRPr="000B073B">
        <w:rPr>
          <w:rFonts w:asciiTheme="majorBidi" w:hAnsiTheme="majorBidi" w:cstheme="majorBidi"/>
          <w:smallCaps/>
        </w:rPr>
        <w:t>Tul</w:t>
      </w:r>
      <w:proofErr w:type="spellEnd"/>
      <w:r w:rsidRPr="000B073B">
        <w:rPr>
          <w:rFonts w:asciiTheme="majorBidi" w:hAnsiTheme="majorBidi" w:cstheme="majorBidi"/>
          <w:smallCaps/>
        </w:rPr>
        <w:t>. L. Rev</w:t>
      </w:r>
      <w:r w:rsidRPr="000B073B">
        <w:rPr>
          <w:rStyle w:val="documentbody"/>
          <w:rFonts w:asciiTheme="majorBidi" w:hAnsiTheme="majorBidi" w:cstheme="majorBidi"/>
        </w:rPr>
        <w:t>. 747, 770 (2000) (noting that “[g]</w:t>
      </w:r>
      <w:proofErr w:type="spellStart"/>
      <w:r w:rsidRPr="000B073B">
        <w:rPr>
          <w:rStyle w:val="documentbody"/>
          <w:rFonts w:asciiTheme="majorBidi" w:hAnsiTheme="majorBidi" w:cstheme="majorBidi"/>
        </w:rPr>
        <w:t>ifts</w:t>
      </w:r>
      <w:proofErr w:type="spellEnd"/>
      <w:r w:rsidRPr="000B073B">
        <w:rPr>
          <w:rStyle w:val="documentbody"/>
          <w:rFonts w:asciiTheme="majorBidi" w:hAnsiTheme="majorBidi" w:cstheme="majorBidi"/>
        </w:rPr>
        <w:t xml:space="preserve"> are common in the private sector and may represent nothing more than an attempt by lobbyists to secure a healthy working relationship with policy makers”)</w:t>
      </w:r>
      <w:r w:rsidRPr="000B073B">
        <w:rPr>
          <w:rFonts w:asciiTheme="majorBidi" w:hAnsiTheme="majorBidi" w:cstheme="majorBidi"/>
        </w:rPr>
        <w:t xml:space="preserve">. </w:t>
      </w:r>
      <w:proofErr w:type="gramStart"/>
      <w:r w:rsidRPr="000B073B">
        <w:rPr>
          <w:rFonts w:asciiTheme="majorBidi" w:hAnsiTheme="majorBidi" w:cstheme="majorBidi"/>
          <w:i/>
          <w:iCs/>
        </w:rPr>
        <w:t>But</w:t>
      </w:r>
      <w:proofErr w:type="gramEnd"/>
      <w:r w:rsidRPr="000B073B">
        <w:rPr>
          <w:rFonts w:asciiTheme="majorBidi" w:hAnsiTheme="majorBidi" w:cstheme="majorBidi"/>
          <w:i/>
          <w:iCs/>
        </w:rPr>
        <w:t xml:space="preserve"> see</w:t>
      </w:r>
      <w:r w:rsidRPr="000B073B">
        <w:rPr>
          <w:rFonts w:asciiTheme="majorBidi" w:hAnsiTheme="majorBidi" w:cstheme="majorBidi"/>
        </w:rPr>
        <w:t xml:space="preserve"> Sarah N. Welling, </w:t>
      </w:r>
      <w:r w:rsidRPr="000B073B">
        <w:rPr>
          <w:rFonts w:asciiTheme="majorBidi" w:hAnsiTheme="majorBidi" w:cstheme="majorBidi"/>
          <w:i/>
          <w:iCs/>
        </w:rPr>
        <w:t>Reviving the Federal Crime of Gratuities</w:t>
      </w:r>
      <w:r w:rsidRPr="000B073B">
        <w:rPr>
          <w:rFonts w:asciiTheme="majorBidi" w:hAnsiTheme="majorBidi" w:cstheme="majorBidi"/>
        </w:rPr>
        <w:t xml:space="preserve">, 55 </w:t>
      </w:r>
      <w:r w:rsidRPr="000B073B">
        <w:rPr>
          <w:rFonts w:asciiTheme="majorBidi" w:hAnsiTheme="majorBidi" w:cstheme="majorBidi"/>
          <w:smallCaps/>
        </w:rPr>
        <w:t>Ariz. L. Rev</w:t>
      </w:r>
      <w:r w:rsidRPr="000B073B">
        <w:rPr>
          <w:rFonts w:asciiTheme="majorBidi" w:hAnsiTheme="majorBidi" w:cstheme="majorBidi"/>
        </w:rPr>
        <w:t>. 417, 431-45 (2013) (justifying the criminalization of gratuities due to concerns over reciprocity).</w:t>
      </w:r>
    </w:p>
  </w:footnote>
  <w:footnote w:id="153">
    <w:p w14:paraId="3DD1553C" w14:textId="77777777" w:rsidR="0095491D" w:rsidRPr="000B073B" w:rsidRDefault="0095491D" w:rsidP="006022B9">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i/>
          <w:iCs/>
          <w:sz w:val="20"/>
          <w:szCs w:val="20"/>
        </w:rPr>
        <w:t>See, e.g</w:t>
      </w:r>
      <w:r w:rsidRPr="000B073B">
        <w:rPr>
          <w:rFonts w:asciiTheme="majorBidi" w:hAnsiTheme="majorBidi" w:cstheme="majorBidi"/>
          <w:sz w:val="20"/>
          <w:szCs w:val="20"/>
        </w:rPr>
        <w:t>., McCormick v. United States, 500 U.S. 257, 269-73 (1991); United States v. Tomblin, 46 F.3d 1369, 1379 (</w:t>
      </w:r>
      <w:proofErr w:type="gramStart"/>
      <w:r w:rsidRPr="000B073B">
        <w:rPr>
          <w:rFonts w:asciiTheme="majorBidi" w:hAnsiTheme="majorBidi" w:cstheme="majorBidi"/>
          <w:sz w:val="20"/>
          <w:szCs w:val="20"/>
        </w:rPr>
        <w:t>5th</w:t>
      </w:r>
      <w:proofErr w:type="gramEnd"/>
      <w:r w:rsidRPr="000B073B">
        <w:rPr>
          <w:rFonts w:asciiTheme="majorBidi" w:hAnsiTheme="majorBidi" w:cstheme="majorBidi"/>
          <w:sz w:val="20"/>
          <w:szCs w:val="20"/>
        </w:rPr>
        <w:t xml:space="preserve"> Cir. 1995).</w:t>
      </w:r>
    </w:p>
  </w:footnote>
  <w:footnote w:id="154">
    <w:p w14:paraId="22BFAA7A" w14:textId="77777777" w:rsidR="0095491D" w:rsidRPr="000B073B" w:rsidRDefault="0095491D" w:rsidP="006022B9">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e.g.</w:t>
      </w:r>
      <w:r w:rsidRPr="000B073B">
        <w:rPr>
          <w:rFonts w:asciiTheme="majorBidi" w:hAnsiTheme="majorBidi" w:cstheme="majorBidi"/>
        </w:rPr>
        <w:t xml:space="preserve">, </w:t>
      </w:r>
      <w:r w:rsidRPr="000B073B">
        <w:rPr>
          <w:rStyle w:val="documentbody"/>
          <w:rFonts w:asciiTheme="majorBidi" w:hAnsiTheme="majorBidi" w:cstheme="majorBidi"/>
        </w:rPr>
        <w:t xml:space="preserve">George D. Brown, </w:t>
      </w:r>
      <w:r w:rsidRPr="000B073B">
        <w:rPr>
          <w:rStyle w:val="documentbody"/>
          <w:rFonts w:asciiTheme="majorBidi" w:hAnsiTheme="majorBidi" w:cstheme="majorBidi"/>
          <w:i/>
          <w:iCs/>
        </w:rPr>
        <w:t>The Gratuities Offence and the RICO Approach to Independent Counsel Jurisdiction</w:t>
      </w:r>
      <w:r w:rsidRPr="000B073B">
        <w:rPr>
          <w:rStyle w:val="documentbody"/>
          <w:rFonts w:asciiTheme="majorBidi" w:hAnsiTheme="majorBidi" w:cstheme="majorBidi"/>
        </w:rPr>
        <w:t xml:space="preserve">, 86 </w:t>
      </w:r>
      <w:r w:rsidRPr="000B073B">
        <w:rPr>
          <w:rFonts w:asciiTheme="majorBidi" w:hAnsiTheme="majorBidi" w:cstheme="majorBidi"/>
          <w:smallCaps/>
        </w:rPr>
        <w:t>Geo. L.J.</w:t>
      </w:r>
      <w:r w:rsidRPr="000B073B">
        <w:rPr>
          <w:rStyle w:val="documentbody"/>
          <w:rFonts w:asciiTheme="majorBidi" w:hAnsiTheme="majorBidi" w:cstheme="majorBidi"/>
        </w:rPr>
        <w:t xml:space="preserve"> 2045, </w:t>
      </w:r>
      <w:r w:rsidRPr="000B073B">
        <w:rPr>
          <w:rFonts w:asciiTheme="majorBidi" w:hAnsiTheme="majorBidi" w:cstheme="majorBidi"/>
        </w:rPr>
        <w:t>2050 (1998) (suggesting that gratuities “</w:t>
      </w:r>
      <w:r w:rsidRPr="000B073B">
        <w:rPr>
          <w:rStyle w:val="documentbody"/>
          <w:rFonts w:asciiTheme="majorBidi" w:hAnsiTheme="majorBidi" w:cstheme="majorBidi"/>
        </w:rPr>
        <w:t xml:space="preserve">may even represent bribery that cannot be proved”). </w:t>
      </w:r>
    </w:p>
  </w:footnote>
  <w:footnote w:id="155">
    <w:p w14:paraId="2DFBCF55" w14:textId="77777777" w:rsidR="0095491D" w:rsidRPr="000B073B" w:rsidRDefault="0095491D" w:rsidP="00331DEE">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Larry Alexander &amp; Kimberly Kessler Ferzan, </w:t>
      </w:r>
      <w:r w:rsidRPr="000B073B">
        <w:rPr>
          <w:rFonts w:asciiTheme="majorBidi" w:hAnsiTheme="majorBidi" w:cstheme="majorBidi"/>
          <w:i/>
          <w:iCs/>
        </w:rPr>
        <w:t>Beyond the Special Part</w:t>
      </w:r>
      <w:r w:rsidRPr="000B073B">
        <w:rPr>
          <w:rFonts w:asciiTheme="majorBidi" w:hAnsiTheme="majorBidi" w:cstheme="majorBidi"/>
        </w:rPr>
        <w:t xml:space="preserve">, </w:t>
      </w:r>
      <w:r w:rsidRPr="000B073B">
        <w:rPr>
          <w:rFonts w:asciiTheme="majorBidi" w:hAnsiTheme="majorBidi" w:cstheme="majorBidi"/>
          <w:i/>
          <w:iCs/>
        </w:rPr>
        <w:t>in</w:t>
      </w:r>
      <w:r w:rsidRPr="000B073B">
        <w:rPr>
          <w:rFonts w:asciiTheme="majorBidi" w:hAnsiTheme="majorBidi" w:cstheme="majorBidi"/>
        </w:rPr>
        <w:t xml:space="preserve"> </w:t>
      </w:r>
      <w:r w:rsidRPr="000B073B">
        <w:rPr>
          <w:rFonts w:asciiTheme="majorBidi" w:hAnsiTheme="majorBidi" w:cstheme="majorBidi"/>
          <w:smallCaps/>
        </w:rPr>
        <w:t>Philosophical Foundations of Criminal Law</w:t>
      </w:r>
      <w:r w:rsidRPr="000B073B">
        <w:rPr>
          <w:rFonts w:asciiTheme="majorBidi" w:hAnsiTheme="majorBidi" w:cstheme="majorBidi"/>
        </w:rPr>
        <w:t xml:space="preserve"> 253, 269-</w:t>
      </w:r>
      <w:r w:rsidRPr="000B073B">
        <w:rPr>
          <w:rFonts w:asciiTheme="majorBidi" w:hAnsiTheme="majorBidi" w:cstheme="majorBidi"/>
          <w:rtl/>
        </w:rPr>
        <w:t>72</w:t>
      </w:r>
      <w:r w:rsidRPr="000B073B">
        <w:rPr>
          <w:rFonts w:asciiTheme="majorBidi" w:hAnsiTheme="majorBidi" w:cstheme="majorBidi"/>
        </w:rPr>
        <w:t xml:space="preserve"> (R.A. Duff &amp; Stuart Green eds., 2011).</w:t>
      </w:r>
    </w:p>
  </w:footnote>
  <w:footnote w:id="156">
    <w:p w14:paraId="304DAE85" w14:textId="77777777" w:rsidR="0095491D" w:rsidRPr="000B073B" w:rsidRDefault="0095491D" w:rsidP="00746478">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Richard H. McAdams, </w:t>
      </w:r>
      <w:proofErr w:type="gramStart"/>
      <w:r w:rsidRPr="000B073B">
        <w:rPr>
          <w:rFonts w:asciiTheme="majorBidi" w:hAnsiTheme="majorBidi" w:cstheme="majorBidi"/>
          <w:i/>
          <w:iCs/>
        </w:rPr>
        <w:t>The</w:t>
      </w:r>
      <w:proofErr w:type="gramEnd"/>
      <w:r w:rsidRPr="000B073B">
        <w:rPr>
          <w:rFonts w:asciiTheme="majorBidi" w:hAnsiTheme="majorBidi" w:cstheme="majorBidi"/>
          <w:i/>
          <w:iCs/>
        </w:rPr>
        <w:t xml:space="preserve"> Political Economy of Criminal Law and Procedure: The Pessimists’ View</w:t>
      </w:r>
      <w:r w:rsidRPr="000B073B">
        <w:rPr>
          <w:rFonts w:asciiTheme="majorBidi" w:hAnsiTheme="majorBidi" w:cstheme="majorBidi"/>
        </w:rPr>
        <w:t xml:space="preserve">, </w:t>
      </w:r>
      <w:r w:rsidRPr="000B073B">
        <w:rPr>
          <w:rFonts w:asciiTheme="majorBidi" w:hAnsiTheme="majorBidi" w:cstheme="majorBidi"/>
          <w:i/>
          <w:iCs/>
        </w:rPr>
        <w:t>in</w:t>
      </w:r>
      <w:r w:rsidRPr="000B073B">
        <w:rPr>
          <w:rFonts w:asciiTheme="majorBidi" w:hAnsiTheme="majorBidi" w:cstheme="majorBidi"/>
        </w:rPr>
        <w:t xml:space="preserve"> </w:t>
      </w:r>
      <w:r w:rsidRPr="000B073B">
        <w:rPr>
          <w:rFonts w:asciiTheme="majorBidi" w:hAnsiTheme="majorBidi" w:cstheme="majorBidi"/>
          <w:smallCaps/>
        </w:rPr>
        <w:t>Criminal Law Conversations</w:t>
      </w:r>
      <w:r w:rsidRPr="000B073B">
        <w:rPr>
          <w:rFonts w:asciiTheme="majorBidi" w:hAnsiTheme="majorBidi" w:cstheme="majorBidi"/>
        </w:rPr>
        <w:t xml:space="preserve"> 517, 520-21 (Paul H. Robinson et al. eds., 2009). </w:t>
      </w:r>
    </w:p>
  </w:footnote>
  <w:footnote w:id="157">
    <w:p w14:paraId="2F2CF876" w14:textId="77777777" w:rsidR="0095491D" w:rsidRPr="000B073B" w:rsidRDefault="0095491D" w:rsidP="00E66E31">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w:t>
      </w:r>
      <w:proofErr w:type="gramStart"/>
      <w:r w:rsidRPr="000B073B">
        <w:rPr>
          <w:rFonts w:asciiTheme="majorBidi" w:hAnsiTheme="majorBidi" w:cstheme="majorBidi"/>
          <w:smallCaps/>
        </w:rPr>
        <w:t>Moore</w:t>
      </w:r>
      <w:r w:rsidRPr="000B073B">
        <w:rPr>
          <w:rFonts w:asciiTheme="majorBidi" w:hAnsiTheme="majorBidi" w:cstheme="majorBidi"/>
        </w:rPr>
        <w:t>,</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_Ref433312672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63</w:t>
      </w:r>
      <w:r w:rsidRPr="000B073B">
        <w:rPr>
          <w:rFonts w:asciiTheme="majorBidi" w:hAnsiTheme="majorBidi" w:cstheme="majorBidi"/>
        </w:rPr>
        <w:fldChar w:fldCharType="end"/>
      </w:r>
      <w:r w:rsidRPr="000B073B">
        <w:rPr>
          <w:rFonts w:asciiTheme="majorBidi" w:hAnsiTheme="majorBidi" w:cstheme="majorBidi"/>
        </w:rPr>
        <w:t>, at 784.</w:t>
      </w:r>
    </w:p>
  </w:footnote>
  <w:footnote w:id="158">
    <w:p w14:paraId="6B44A008"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Alexander &amp; Kessler </w:t>
      </w:r>
      <w:proofErr w:type="gramStart"/>
      <w:r w:rsidRPr="000B073B">
        <w:rPr>
          <w:rFonts w:asciiTheme="majorBidi" w:hAnsiTheme="majorBidi" w:cstheme="majorBidi"/>
        </w:rPr>
        <w:t>Ferzan,</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_Ref433314981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141</w:t>
      </w:r>
      <w:r w:rsidRPr="000B073B">
        <w:rPr>
          <w:rFonts w:asciiTheme="majorBidi" w:hAnsiTheme="majorBidi" w:cstheme="majorBidi"/>
        </w:rPr>
        <w:fldChar w:fldCharType="end"/>
      </w:r>
      <w:r w:rsidRPr="000B073B">
        <w:rPr>
          <w:rFonts w:asciiTheme="majorBidi" w:hAnsiTheme="majorBidi" w:cstheme="majorBidi"/>
        </w:rPr>
        <w:t>, at 275-77.</w:t>
      </w:r>
    </w:p>
  </w:footnote>
  <w:footnote w:id="159">
    <w:p w14:paraId="42BC3297" w14:textId="77777777" w:rsidR="0095491D" w:rsidRPr="000B073B" w:rsidRDefault="0095491D" w:rsidP="005C6D5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generally</w:t>
      </w:r>
      <w:r w:rsidRPr="000B073B">
        <w:rPr>
          <w:rFonts w:asciiTheme="majorBidi" w:hAnsiTheme="majorBidi" w:cstheme="majorBidi"/>
        </w:rPr>
        <w:t xml:space="preserve"> </w:t>
      </w:r>
      <w:r w:rsidRPr="000B073B">
        <w:rPr>
          <w:rStyle w:val="documentbody"/>
          <w:rFonts w:asciiTheme="majorBidi" w:hAnsiTheme="majorBidi" w:cstheme="majorBidi"/>
        </w:rPr>
        <w:t xml:space="preserve">Committee on Gov’t Standards, A.B.A, </w:t>
      </w:r>
      <w:proofErr w:type="gramStart"/>
      <w:r w:rsidRPr="000B073B">
        <w:rPr>
          <w:rStyle w:val="documentbody"/>
          <w:rFonts w:asciiTheme="majorBidi" w:hAnsiTheme="majorBidi" w:cstheme="majorBidi"/>
          <w:i/>
          <w:iCs/>
        </w:rPr>
        <w:t>Keeping</w:t>
      </w:r>
      <w:proofErr w:type="gramEnd"/>
      <w:r w:rsidRPr="000B073B">
        <w:rPr>
          <w:rStyle w:val="documentbody"/>
          <w:rFonts w:asciiTheme="majorBidi" w:hAnsiTheme="majorBidi" w:cstheme="majorBidi"/>
          <w:i/>
          <w:iCs/>
        </w:rPr>
        <w:t xml:space="preserve"> Faith: Government Ethics and Government Ethics Regulation</w:t>
      </w:r>
      <w:r w:rsidRPr="000B073B">
        <w:rPr>
          <w:rStyle w:val="documentbody"/>
          <w:rFonts w:asciiTheme="majorBidi" w:hAnsiTheme="majorBidi" w:cstheme="majorBidi"/>
        </w:rPr>
        <w:t xml:space="preserve">, 45 </w:t>
      </w:r>
      <w:r w:rsidRPr="000B073B">
        <w:rPr>
          <w:rFonts w:asciiTheme="majorBidi" w:hAnsiTheme="majorBidi" w:cstheme="majorBidi"/>
          <w:smallCaps/>
        </w:rPr>
        <w:t>Admin. L. Rev</w:t>
      </w:r>
      <w:r w:rsidRPr="000B073B">
        <w:rPr>
          <w:rStyle w:val="documentbody"/>
          <w:rFonts w:asciiTheme="majorBidi" w:hAnsiTheme="majorBidi" w:cstheme="majorBidi"/>
        </w:rPr>
        <w:t>. 287 (1993) (Cynthia Farina, Reporter)</w:t>
      </w:r>
      <w:r w:rsidRPr="000B073B">
        <w:rPr>
          <w:rFonts w:asciiTheme="majorBidi" w:hAnsiTheme="majorBidi" w:cstheme="majorBidi"/>
        </w:rPr>
        <w:t>.</w:t>
      </w:r>
    </w:p>
  </w:footnote>
  <w:footnote w:id="160">
    <w:p w14:paraId="48EDA30C"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xml:space="preserve">. at 305. </w:t>
      </w:r>
    </w:p>
  </w:footnote>
  <w:footnote w:id="161">
    <w:p w14:paraId="5F94D52E"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In fact, Alexander and Kessler Ferzan acknowledge this point, and assert that justifying the punishment of the innocent who are convicted of proxy crimes faces “insurmountable” difficulties if the legal system employs the beyond reasonable doubt standard as the decision threshold in criminal trials. </w:t>
      </w:r>
      <w:r w:rsidRPr="000B073B">
        <w:rPr>
          <w:rFonts w:asciiTheme="majorBidi" w:hAnsiTheme="majorBidi" w:cstheme="majorBidi"/>
          <w:i/>
          <w:iCs/>
        </w:rPr>
        <w:t>See</w:t>
      </w:r>
      <w:r w:rsidRPr="000B073B">
        <w:rPr>
          <w:rFonts w:asciiTheme="majorBidi" w:hAnsiTheme="majorBidi" w:cstheme="majorBidi"/>
        </w:rPr>
        <w:t xml:space="preserve"> Alexander &amp; Kessler </w:t>
      </w:r>
      <w:proofErr w:type="gramStart"/>
      <w:r w:rsidRPr="000B073B">
        <w:rPr>
          <w:rFonts w:asciiTheme="majorBidi" w:hAnsiTheme="majorBidi" w:cstheme="majorBidi"/>
        </w:rPr>
        <w:t>Ferzan,</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_Ref433314981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141</w:t>
      </w:r>
      <w:r w:rsidRPr="000B073B">
        <w:rPr>
          <w:rFonts w:asciiTheme="majorBidi" w:hAnsiTheme="majorBidi" w:cstheme="majorBidi"/>
        </w:rPr>
        <w:fldChar w:fldCharType="end"/>
      </w:r>
      <w:r w:rsidRPr="000B073B">
        <w:rPr>
          <w:rFonts w:asciiTheme="majorBidi" w:hAnsiTheme="majorBidi" w:cstheme="majorBidi"/>
        </w:rPr>
        <w:t xml:space="preserve">, at 271. Yet this analysis rests on the assumption that the criminal justice system employs the beyond reasonable doubt standard, which is precisely the questions at hand.  </w:t>
      </w:r>
    </w:p>
  </w:footnote>
  <w:footnote w:id="162">
    <w:p w14:paraId="6BC32D09" w14:textId="77777777" w:rsidR="0095491D" w:rsidRPr="000B073B" w:rsidRDefault="0095491D" w:rsidP="00567D7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Tex. Penal Code § 49.031(</w:t>
      </w:r>
      <w:r w:rsidRPr="000B073B">
        <w:rPr>
          <w:rFonts w:asciiTheme="majorBidi" w:hAnsiTheme="majorBidi" w:cstheme="majorBidi"/>
        </w:rPr>
        <w:t xml:space="preserve">d) </w:t>
      </w:r>
      <w:r w:rsidRPr="000B073B">
        <w:rPr>
          <w:rFonts w:asciiTheme="majorBidi" w:hAnsiTheme="majorBidi" w:cstheme="majorBidi"/>
          <w:smallCaps/>
        </w:rPr>
        <w:t>(</w:t>
      </w:r>
      <w:r w:rsidRPr="000B073B">
        <w:rPr>
          <w:rFonts w:asciiTheme="majorBidi" w:hAnsiTheme="majorBidi" w:cstheme="majorBidi"/>
        </w:rPr>
        <w:t>LexisNexis</w:t>
      </w:r>
      <w:r w:rsidRPr="000B073B">
        <w:rPr>
          <w:rFonts w:asciiTheme="majorBidi" w:hAnsiTheme="majorBidi" w:cstheme="majorBidi"/>
          <w:smallCaps/>
        </w:rPr>
        <w:t xml:space="preserve"> 2014)</w:t>
      </w:r>
    </w:p>
  </w:footnote>
  <w:footnote w:id="163">
    <w:p w14:paraId="39A39E9E" w14:textId="77777777" w:rsidR="0095491D" w:rsidRPr="000B073B" w:rsidRDefault="0095491D" w:rsidP="00567D7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Tex. Penal Code § 49.04(</w:t>
      </w:r>
      <w:r w:rsidRPr="000B073B">
        <w:rPr>
          <w:rFonts w:asciiTheme="majorBidi" w:hAnsiTheme="majorBidi" w:cstheme="majorBidi"/>
        </w:rPr>
        <w:t xml:space="preserve">b) </w:t>
      </w:r>
      <w:r w:rsidRPr="000B073B">
        <w:rPr>
          <w:rFonts w:asciiTheme="majorBidi" w:hAnsiTheme="majorBidi" w:cstheme="majorBidi"/>
          <w:smallCaps/>
        </w:rPr>
        <w:t>(</w:t>
      </w:r>
      <w:r w:rsidRPr="000B073B">
        <w:rPr>
          <w:rFonts w:asciiTheme="majorBidi" w:hAnsiTheme="majorBidi" w:cstheme="majorBidi"/>
        </w:rPr>
        <w:t>LexisNexis</w:t>
      </w:r>
      <w:r w:rsidRPr="000B073B">
        <w:rPr>
          <w:rFonts w:asciiTheme="majorBidi" w:hAnsiTheme="majorBidi" w:cstheme="majorBidi"/>
          <w:smallCaps/>
        </w:rPr>
        <w:t xml:space="preserve"> 2014)</w:t>
      </w:r>
    </w:p>
  </w:footnote>
  <w:footnote w:id="164">
    <w:p w14:paraId="5508E00D"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18 </w:t>
      </w:r>
      <w:r w:rsidRPr="000B073B">
        <w:rPr>
          <w:rFonts w:asciiTheme="majorBidi" w:hAnsiTheme="majorBidi" w:cstheme="majorBidi"/>
          <w:smallCaps/>
        </w:rPr>
        <w:t>U.S.C</w:t>
      </w:r>
      <w:r w:rsidRPr="000B073B">
        <w:rPr>
          <w:rFonts w:asciiTheme="majorBidi" w:hAnsiTheme="majorBidi" w:cstheme="majorBidi"/>
        </w:rPr>
        <w:t xml:space="preserve"> §201(b) (2016).</w:t>
      </w:r>
    </w:p>
  </w:footnote>
  <w:footnote w:id="165">
    <w:p w14:paraId="50882598"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18 </w:t>
      </w:r>
      <w:r w:rsidRPr="000B073B">
        <w:rPr>
          <w:rFonts w:asciiTheme="majorBidi" w:hAnsiTheme="majorBidi" w:cstheme="majorBidi"/>
          <w:smallCaps/>
        </w:rPr>
        <w:t>U.S.C</w:t>
      </w:r>
      <w:r w:rsidRPr="000B073B">
        <w:rPr>
          <w:rFonts w:asciiTheme="majorBidi" w:hAnsiTheme="majorBidi" w:cstheme="majorBidi"/>
        </w:rPr>
        <w:t xml:space="preserve"> §201(c) (2016) (setting the penalty for illegal gratuities)</w:t>
      </w:r>
      <w:proofErr w:type="gramStart"/>
      <w:r w:rsidRPr="000B073B">
        <w:rPr>
          <w:rFonts w:asciiTheme="majorBidi" w:hAnsiTheme="majorBidi" w:cstheme="majorBidi"/>
        </w:rPr>
        <w:t>;</w:t>
      </w:r>
      <w:proofErr w:type="gramEnd"/>
      <w:r w:rsidRPr="000B073B">
        <w:rPr>
          <w:rFonts w:asciiTheme="majorBidi" w:hAnsiTheme="majorBidi" w:cstheme="majorBidi"/>
        </w:rPr>
        <w:t xml:space="preserve"> 18 </w:t>
      </w:r>
      <w:r w:rsidRPr="000B073B">
        <w:rPr>
          <w:rFonts w:asciiTheme="majorBidi" w:hAnsiTheme="majorBidi" w:cstheme="majorBidi"/>
          <w:smallCaps/>
        </w:rPr>
        <w:t>U.S.C</w:t>
      </w:r>
      <w:r w:rsidRPr="000B073B">
        <w:rPr>
          <w:rFonts w:asciiTheme="majorBidi" w:hAnsiTheme="majorBidi" w:cstheme="majorBidi"/>
        </w:rPr>
        <w:t xml:space="preserve"> §208 (2016) in conjunction with 18 </w:t>
      </w:r>
      <w:r w:rsidRPr="000B073B">
        <w:rPr>
          <w:rFonts w:asciiTheme="majorBidi" w:hAnsiTheme="majorBidi" w:cstheme="majorBidi"/>
          <w:smallCaps/>
        </w:rPr>
        <w:t>U.S.C</w:t>
      </w:r>
      <w:r w:rsidRPr="000B073B">
        <w:rPr>
          <w:rFonts w:asciiTheme="majorBidi" w:hAnsiTheme="majorBidi" w:cstheme="majorBidi"/>
        </w:rPr>
        <w:t xml:space="preserve"> §216 (2016) (setting the penalty for conflict of interest).</w:t>
      </w:r>
    </w:p>
  </w:footnote>
  <w:footnote w:id="166">
    <w:p w14:paraId="12170E04"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smallCaps/>
        </w:rPr>
        <w:t>Anthony Duff, Criminal Attempts 1 (1996</w:t>
      </w:r>
      <w:r w:rsidRPr="000B073B">
        <w:rPr>
          <w:rFonts w:asciiTheme="majorBidi" w:hAnsiTheme="majorBidi" w:cstheme="majorBidi"/>
        </w:rPr>
        <w:t>).</w:t>
      </w:r>
    </w:p>
  </w:footnote>
  <w:footnote w:id="167">
    <w:p w14:paraId="1981621B"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Andrew Ashworth, Principles of Criminal Law</w:t>
      </w:r>
      <w:r w:rsidRPr="000B073B">
        <w:rPr>
          <w:rFonts w:asciiTheme="majorBidi" w:hAnsiTheme="majorBidi" w:cstheme="majorBidi"/>
        </w:rPr>
        <w:t xml:space="preserve"> 445-47 (</w:t>
      </w:r>
      <w:proofErr w:type="gramStart"/>
      <w:r w:rsidRPr="000B073B">
        <w:rPr>
          <w:rFonts w:asciiTheme="majorBidi" w:hAnsiTheme="majorBidi" w:cstheme="majorBidi"/>
        </w:rPr>
        <w:t>5th</w:t>
      </w:r>
      <w:proofErr w:type="gramEnd"/>
      <w:r w:rsidRPr="000B073B">
        <w:rPr>
          <w:rFonts w:asciiTheme="majorBidi" w:hAnsiTheme="majorBidi" w:cstheme="majorBidi"/>
        </w:rPr>
        <w:t xml:space="preserve"> ed., 2006) (reviewing the two types of attempts).</w:t>
      </w:r>
    </w:p>
  </w:footnote>
  <w:footnote w:id="168">
    <w:p w14:paraId="139D778F" w14:textId="77777777" w:rsidR="0095491D" w:rsidRPr="000B073B" w:rsidRDefault="0095491D" w:rsidP="007D2F47">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 e.g</w:t>
      </w:r>
      <w:r w:rsidRPr="000B073B">
        <w:rPr>
          <w:rFonts w:asciiTheme="majorBidi" w:hAnsiTheme="majorBidi" w:cstheme="majorBidi"/>
        </w:rPr>
        <w:t xml:space="preserve">., </w:t>
      </w:r>
      <w:r w:rsidRPr="000B073B">
        <w:rPr>
          <w:rFonts w:asciiTheme="majorBidi" w:hAnsiTheme="majorBidi" w:cstheme="majorBidi"/>
          <w:smallCaps/>
        </w:rPr>
        <w:t>Model Penal Code</w:t>
      </w:r>
      <w:r w:rsidRPr="000B073B">
        <w:rPr>
          <w:rFonts w:asciiTheme="majorBidi" w:hAnsiTheme="majorBidi" w:cstheme="majorBidi"/>
        </w:rPr>
        <w:t xml:space="preserve"> § 5.01(1</w:t>
      </w:r>
      <w:proofErr w:type="gramStart"/>
      <w:r w:rsidRPr="000B073B">
        <w:rPr>
          <w:rFonts w:asciiTheme="majorBidi" w:hAnsiTheme="majorBidi" w:cstheme="majorBidi"/>
        </w:rPr>
        <w:t>)(</w:t>
      </w:r>
      <w:proofErr w:type="gramEnd"/>
      <w:r w:rsidRPr="000B073B">
        <w:rPr>
          <w:rFonts w:asciiTheme="majorBidi" w:hAnsiTheme="majorBidi" w:cstheme="majorBidi"/>
        </w:rPr>
        <w:t>c) (criminalizing acts that constitute only a substantial step towards the commission of a crime).</w:t>
      </w:r>
    </w:p>
  </w:footnote>
  <w:footnote w:id="169">
    <w:p w14:paraId="1B0062F2"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For a review of Anglo-American case law on this point see Duff, </w:t>
      </w:r>
      <w:r w:rsidRPr="000B073B">
        <w:rPr>
          <w:rFonts w:asciiTheme="majorBidi" w:hAnsiTheme="majorBidi" w:cstheme="majorBidi"/>
          <w:i/>
          <w:iCs/>
        </w:rPr>
        <w:t xml:space="preserve">supra </w:t>
      </w:r>
      <w:r w:rsidRPr="000B073B">
        <w:rPr>
          <w:rFonts w:asciiTheme="majorBidi" w:hAnsiTheme="majorBidi" w:cstheme="majorBidi"/>
        </w:rPr>
        <w:t xml:space="preserve">note </w:t>
      </w:r>
      <w:r w:rsidRPr="000B073B">
        <w:rPr>
          <w:rFonts w:asciiTheme="majorBidi" w:hAnsiTheme="majorBidi" w:cstheme="majorBidi"/>
        </w:rPr>
        <w:fldChar w:fldCharType="begin"/>
      </w:r>
      <w:r w:rsidRPr="000B073B">
        <w:rPr>
          <w:rFonts w:asciiTheme="majorBidi" w:hAnsiTheme="majorBidi" w:cstheme="majorBidi"/>
        </w:rPr>
        <w:instrText xml:space="preserve"> NOTEREF _Ref242525539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152</w:t>
      </w:r>
      <w:r w:rsidRPr="000B073B">
        <w:rPr>
          <w:rFonts w:asciiTheme="majorBidi" w:hAnsiTheme="majorBidi" w:cstheme="majorBidi"/>
        </w:rPr>
        <w:fldChar w:fldCharType="end"/>
      </w:r>
      <w:r w:rsidRPr="000B073B">
        <w:rPr>
          <w:rFonts w:asciiTheme="majorBidi" w:hAnsiTheme="majorBidi" w:cstheme="majorBidi"/>
        </w:rPr>
        <w:t xml:space="preserve">, at 33-61; Hamish Stewart, </w:t>
      </w:r>
      <w:r w:rsidRPr="000B073B">
        <w:rPr>
          <w:rFonts w:asciiTheme="majorBidi" w:hAnsiTheme="majorBidi" w:cstheme="majorBidi"/>
          <w:i/>
          <w:iCs/>
        </w:rPr>
        <w:t xml:space="preserve">The Centrality of the Act Requirement for Criminal </w:t>
      </w:r>
      <w:bookmarkStart w:id="41" w:name="SR_96"/>
      <w:bookmarkEnd w:id="41"/>
      <w:r w:rsidRPr="000B073B">
        <w:rPr>
          <w:rFonts w:asciiTheme="majorBidi" w:hAnsiTheme="majorBidi" w:cstheme="majorBidi"/>
          <w:i/>
          <w:iCs/>
        </w:rPr>
        <w:t>Attempts</w:t>
      </w:r>
      <w:r w:rsidRPr="000B073B">
        <w:rPr>
          <w:rFonts w:asciiTheme="majorBidi" w:hAnsiTheme="majorBidi" w:cstheme="majorBidi"/>
          <w:b/>
          <w:bCs/>
        </w:rPr>
        <w:t xml:space="preserve">, </w:t>
      </w:r>
      <w:r w:rsidRPr="000B073B">
        <w:rPr>
          <w:rFonts w:asciiTheme="majorBidi" w:hAnsiTheme="majorBidi" w:cstheme="majorBidi"/>
        </w:rPr>
        <w:t xml:space="preserve">51 </w:t>
      </w:r>
      <w:r w:rsidRPr="000B073B">
        <w:rPr>
          <w:rFonts w:asciiTheme="majorBidi" w:hAnsiTheme="majorBidi" w:cstheme="majorBidi"/>
          <w:smallCaps/>
        </w:rPr>
        <w:t>U. Toronto L.J</w:t>
      </w:r>
      <w:r w:rsidRPr="000B073B">
        <w:rPr>
          <w:rFonts w:asciiTheme="majorBidi" w:hAnsiTheme="majorBidi" w:cstheme="majorBidi"/>
        </w:rPr>
        <w:t>. 399, 402-11 (2001).</w:t>
      </w:r>
    </w:p>
  </w:footnote>
  <w:footnote w:id="170">
    <w:p w14:paraId="78E0A804" w14:textId="77777777" w:rsidR="0095491D" w:rsidRPr="000B073B" w:rsidRDefault="0095491D" w:rsidP="007D2F47">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i/>
          <w:iCs/>
        </w:rPr>
        <w:t xml:space="preserve"> See, e.g</w:t>
      </w:r>
      <w:r w:rsidRPr="000B073B">
        <w:rPr>
          <w:rFonts w:asciiTheme="majorBidi" w:hAnsiTheme="majorBidi" w:cstheme="majorBidi"/>
        </w:rPr>
        <w:t xml:space="preserve">., </w:t>
      </w:r>
      <w:r w:rsidRPr="000B073B">
        <w:rPr>
          <w:rFonts w:asciiTheme="majorBidi" w:hAnsiTheme="majorBidi" w:cstheme="majorBidi"/>
          <w:smallCaps/>
        </w:rPr>
        <w:t>Model Penal Code</w:t>
      </w:r>
      <w:r w:rsidRPr="000B073B">
        <w:rPr>
          <w:rFonts w:asciiTheme="majorBidi" w:hAnsiTheme="majorBidi" w:cstheme="majorBidi"/>
        </w:rPr>
        <w:t xml:space="preserve"> § 5.01(1</w:t>
      </w:r>
      <w:proofErr w:type="gramStart"/>
      <w:r w:rsidRPr="000B073B">
        <w:rPr>
          <w:rFonts w:asciiTheme="majorBidi" w:hAnsiTheme="majorBidi" w:cstheme="majorBidi"/>
        </w:rPr>
        <w:t>)(</w:t>
      </w:r>
      <w:proofErr w:type="gramEnd"/>
      <w:r w:rsidRPr="000B073B">
        <w:rPr>
          <w:rFonts w:asciiTheme="majorBidi" w:hAnsiTheme="majorBidi" w:cstheme="majorBidi"/>
        </w:rPr>
        <w:t xml:space="preserve">b).  </w:t>
      </w:r>
    </w:p>
  </w:footnote>
  <w:footnote w:id="171">
    <w:p w14:paraId="5D9A93F1" w14:textId="77777777" w:rsidR="0095491D" w:rsidRPr="000B073B" w:rsidRDefault="0095491D" w:rsidP="007D2F47">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i/>
          <w:iCs/>
        </w:rPr>
        <w:t xml:space="preserve"> See, e.g</w:t>
      </w:r>
      <w:r w:rsidRPr="000B073B">
        <w:rPr>
          <w:rFonts w:asciiTheme="majorBidi" w:hAnsiTheme="majorBidi" w:cstheme="majorBidi"/>
        </w:rPr>
        <w:t xml:space="preserve">., </w:t>
      </w:r>
      <w:r w:rsidRPr="000B073B">
        <w:rPr>
          <w:rFonts w:asciiTheme="majorBidi" w:hAnsiTheme="majorBidi" w:cstheme="majorBidi"/>
          <w:smallCaps/>
        </w:rPr>
        <w:t>Model Penal Code</w:t>
      </w:r>
      <w:r w:rsidRPr="000B073B">
        <w:rPr>
          <w:rFonts w:asciiTheme="majorBidi" w:hAnsiTheme="majorBidi" w:cstheme="majorBidi"/>
        </w:rPr>
        <w:t xml:space="preserve"> § 5.01(1</w:t>
      </w:r>
      <w:proofErr w:type="gramStart"/>
      <w:r w:rsidRPr="000B073B">
        <w:rPr>
          <w:rFonts w:asciiTheme="majorBidi" w:hAnsiTheme="majorBidi" w:cstheme="majorBidi"/>
        </w:rPr>
        <w:t>)(</w:t>
      </w:r>
      <w:proofErr w:type="gramEnd"/>
      <w:r w:rsidRPr="000B073B">
        <w:rPr>
          <w:rFonts w:asciiTheme="majorBidi" w:hAnsiTheme="majorBidi" w:cstheme="majorBidi"/>
        </w:rPr>
        <w:t xml:space="preserve">a).  </w:t>
      </w:r>
    </w:p>
  </w:footnote>
  <w:footnote w:id="172">
    <w:p w14:paraId="0E2A7360" w14:textId="77777777" w:rsidR="0095491D" w:rsidRPr="000B073B" w:rsidRDefault="0095491D" w:rsidP="003D3ED2">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 xml:space="preserve">See </w:t>
      </w:r>
      <w:r w:rsidRPr="000B073B">
        <w:rPr>
          <w:rFonts w:asciiTheme="majorBidi" w:hAnsiTheme="majorBidi" w:cstheme="majorBidi"/>
          <w:smallCaps/>
        </w:rPr>
        <w:t>Wayne F. LaFave, Substantive Criminal Law</w:t>
      </w:r>
      <w:r w:rsidRPr="000B073B">
        <w:rPr>
          <w:rFonts w:asciiTheme="majorBidi" w:hAnsiTheme="majorBidi" w:cstheme="majorBidi"/>
        </w:rPr>
        <w:t xml:space="preserve"> 208-210 (2</w:t>
      </w:r>
      <w:r w:rsidRPr="000B073B">
        <w:rPr>
          <w:rFonts w:asciiTheme="majorBidi" w:hAnsiTheme="majorBidi" w:cstheme="majorBidi"/>
          <w:vertAlign w:val="superscript"/>
        </w:rPr>
        <w:t>d</w:t>
      </w:r>
      <w:r w:rsidRPr="000B073B">
        <w:rPr>
          <w:rFonts w:asciiTheme="majorBidi" w:hAnsiTheme="majorBidi" w:cstheme="majorBidi"/>
        </w:rPr>
        <w:t xml:space="preserve"> ed., Vol. II, 2003). </w:t>
      </w:r>
    </w:p>
  </w:footnote>
  <w:footnote w:id="173">
    <w:p w14:paraId="0D98CFCB"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 xml:space="preserve">Id. </w:t>
      </w:r>
      <w:r w:rsidRPr="000B073B">
        <w:rPr>
          <w:rFonts w:asciiTheme="majorBidi" w:hAnsiTheme="majorBidi" w:cstheme="majorBidi"/>
        </w:rPr>
        <w:t xml:space="preserve">at 209. </w:t>
      </w:r>
    </w:p>
  </w:footnote>
  <w:footnote w:id="174">
    <w:p w14:paraId="3A684EC7"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Arnold N. Enker, </w:t>
      </w:r>
      <w:r w:rsidRPr="000B073B">
        <w:rPr>
          <w:rFonts w:asciiTheme="majorBidi" w:hAnsiTheme="majorBidi" w:cstheme="majorBidi"/>
          <w:i/>
          <w:iCs/>
        </w:rPr>
        <w:t>Impossibility in Criminal Attempts-Legality and the Legal Process</w:t>
      </w:r>
      <w:r w:rsidRPr="000B073B">
        <w:rPr>
          <w:rFonts w:asciiTheme="majorBidi" w:hAnsiTheme="majorBidi" w:cstheme="majorBidi"/>
        </w:rPr>
        <w:t xml:space="preserve">, 53 </w:t>
      </w:r>
      <w:r w:rsidRPr="000B073B">
        <w:rPr>
          <w:rFonts w:asciiTheme="majorBidi" w:hAnsiTheme="majorBidi" w:cstheme="majorBidi"/>
          <w:smallCaps/>
        </w:rPr>
        <w:t xml:space="preserve">Minn. L. Rev. </w:t>
      </w:r>
      <w:r w:rsidRPr="000B073B">
        <w:rPr>
          <w:rFonts w:asciiTheme="majorBidi" w:hAnsiTheme="majorBidi" w:cstheme="majorBidi"/>
        </w:rPr>
        <w:t xml:space="preserve">665, 670 (1969). </w:t>
      </w:r>
    </w:p>
  </w:footnote>
  <w:footnote w:id="175">
    <w:p w14:paraId="4EA2EC54"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xml:space="preserve">. </w:t>
      </w:r>
    </w:p>
  </w:footnote>
  <w:footnote w:id="176">
    <w:p w14:paraId="5B5129A8" w14:textId="77777777" w:rsidR="0095491D" w:rsidRPr="000B073B" w:rsidRDefault="0095491D" w:rsidP="005F118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 xml:space="preserve">Model Penal Code § 5.01 </w:t>
      </w:r>
      <w:r w:rsidRPr="000B073B">
        <w:rPr>
          <w:rFonts w:asciiTheme="majorBidi" w:hAnsiTheme="majorBidi" w:cstheme="majorBidi"/>
        </w:rPr>
        <w:t>at 326 (</w:t>
      </w:r>
      <w:r w:rsidRPr="000B073B">
        <w:rPr>
          <w:rFonts w:asciiTheme="majorBidi" w:hAnsiTheme="majorBidi" w:cstheme="majorBidi"/>
          <w:smallCaps/>
        </w:rPr>
        <w:t>Am Law Inst.,</w:t>
      </w:r>
      <w:r w:rsidRPr="000B073B">
        <w:rPr>
          <w:rFonts w:asciiTheme="majorBidi" w:hAnsiTheme="majorBidi" w:cstheme="majorBidi"/>
        </w:rPr>
        <w:t xml:space="preserve"> Official Draft and Explanatory Notes 1985). </w:t>
      </w:r>
      <w:r w:rsidRPr="000B073B">
        <w:rPr>
          <w:rFonts w:asciiTheme="majorBidi" w:hAnsiTheme="majorBidi" w:cstheme="majorBidi"/>
          <w:i/>
          <w:iCs/>
        </w:rPr>
        <w:t>See also</w:t>
      </w:r>
      <w:r w:rsidRPr="000B073B">
        <w:rPr>
          <w:rFonts w:asciiTheme="majorBidi" w:hAnsiTheme="majorBidi" w:cstheme="majorBidi"/>
        </w:rPr>
        <w:t xml:space="preserve"> </w:t>
      </w:r>
      <w:proofErr w:type="gramStart"/>
      <w:r w:rsidRPr="000B073B">
        <w:rPr>
          <w:rFonts w:asciiTheme="majorBidi" w:hAnsiTheme="majorBidi" w:cstheme="majorBidi"/>
          <w:smallCaps/>
        </w:rPr>
        <w:t>LaFave,</w:t>
      </w:r>
      <w:proofErr w:type="gramEnd"/>
      <w:r w:rsidRPr="000B073B">
        <w:rPr>
          <w:rFonts w:asciiTheme="majorBidi" w:hAnsiTheme="majorBidi" w:cstheme="majorBidi"/>
          <w:smallCaps/>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_Ref427673960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158</w:t>
      </w:r>
      <w:r w:rsidRPr="000B073B">
        <w:rPr>
          <w:rFonts w:asciiTheme="majorBidi" w:hAnsiTheme="majorBidi" w:cstheme="majorBidi"/>
        </w:rPr>
        <w:fldChar w:fldCharType="end"/>
      </w:r>
      <w:r w:rsidRPr="000B073B">
        <w:rPr>
          <w:rFonts w:asciiTheme="majorBidi" w:hAnsiTheme="majorBidi" w:cstheme="majorBidi"/>
        </w:rPr>
        <w:t>, at 193 (noting that the risk of false convictions is inherent in the punishment of almost all inchoate crimes).</w:t>
      </w:r>
    </w:p>
  </w:footnote>
  <w:footnote w:id="177">
    <w:p w14:paraId="53B7F563" w14:textId="4219D47E" w:rsidR="0095491D" w:rsidRPr="000B073B" w:rsidRDefault="0095491D" w:rsidP="00082CCA">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w:t>
      </w:r>
      <w:proofErr w:type="spellStart"/>
      <w:r w:rsidRPr="000B073B">
        <w:rPr>
          <w:rFonts w:asciiTheme="majorBidi" w:hAnsiTheme="majorBidi" w:cstheme="majorBidi"/>
          <w:smallCaps/>
        </w:rPr>
        <w:t>Kadish</w:t>
      </w:r>
      <w:proofErr w:type="spellEnd"/>
      <w:r w:rsidRPr="000B073B">
        <w:rPr>
          <w:rFonts w:asciiTheme="majorBidi" w:hAnsiTheme="majorBidi" w:cstheme="majorBidi"/>
          <w:smallCaps/>
        </w:rPr>
        <w:t xml:space="preserve"> et al.,</w:t>
      </w:r>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_Ref431896586 \h  \* MERGEFORMAT </w:instrText>
      </w:r>
      <w:r w:rsidRPr="000B073B">
        <w:rPr>
          <w:rFonts w:asciiTheme="majorBidi" w:hAnsiTheme="majorBidi" w:cstheme="majorBidi"/>
        </w:rPr>
      </w:r>
      <w:r w:rsidRPr="000B073B">
        <w:rPr>
          <w:rFonts w:asciiTheme="majorBidi" w:hAnsiTheme="majorBidi" w:cstheme="majorBidi"/>
        </w:rPr>
        <w:fldChar w:fldCharType="separate"/>
      </w:r>
      <w:proofErr w:type="gramStart"/>
      <w:r w:rsidRPr="000B073B">
        <w:rPr>
          <w:rFonts w:asciiTheme="majorBidi" w:hAnsiTheme="majorBidi" w:cstheme="majorBidi"/>
        </w:rPr>
        <w:t>6</w:t>
      </w:r>
      <w:proofErr w:type="gramEnd"/>
      <w:r w:rsidRPr="000B073B">
        <w:rPr>
          <w:rFonts w:asciiTheme="majorBidi" w:hAnsiTheme="majorBidi" w:cstheme="majorBidi"/>
        </w:rPr>
        <w:fldChar w:fldCharType="end"/>
      </w:r>
      <w:r w:rsidRPr="000B073B">
        <w:rPr>
          <w:rFonts w:asciiTheme="majorBidi" w:hAnsiTheme="majorBidi" w:cstheme="majorBidi"/>
        </w:rPr>
        <w:t xml:space="preserve"> at 607 (noting that “the usual punishment for attempt is a reduced factor of the punishment for the completed crime”).</w:t>
      </w:r>
    </w:p>
  </w:footnote>
  <w:footnote w:id="178">
    <w:p w14:paraId="534DAB42" w14:textId="77777777" w:rsidR="0095491D" w:rsidRPr="000B073B" w:rsidRDefault="0095491D" w:rsidP="007D2F47">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proofErr w:type="gramStart"/>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Cal. Penal Code</w:t>
      </w:r>
      <w:r w:rsidRPr="000B073B">
        <w:rPr>
          <w:rFonts w:asciiTheme="majorBidi" w:hAnsiTheme="majorBidi" w:cstheme="majorBidi"/>
        </w:rPr>
        <w:t xml:space="preserve"> § 664 (Deering 2016)</w:t>
      </w:r>
      <w:r w:rsidRPr="000B073B">
        <w:rPr>
          <w:rStyle w:val="documentbody5"/>
          <w:rFonts w:asciiTheme="majorBidi" w:hAnsiTheme="majorBidi" w:cstheme="majorBidi"/>
          <w:color w:val="000000"/>
          <w:sz w:val="20"/>
        </w:rPr>
        <w:t xml:space="preserve"> </w:t>
      </w:r>
      <w:r w:rsidRPr="000B073B">
        <w:rPr>
          <w:rFonts w:asciiTheme="majorBidi" w:hAnsiTheme="majorBidi" w:cstheme="majorBidi"/>
        </w:rPr>
        <w:t>(determining—subject to a few qualifications—that a person convicted of attempt “shall be punished by imprisonment in the state prison for one-half the term of imprisonment prescribed upon a conviction of the offense attempted”);</w:t>
      </w:r>
      <w:r w:rsidRPr="000B073B">
        <w:rPr>
          <w:rStyle w:val="documentbody5"/>
          <w:rFonts w:asciiTheme="majorBidi" w:hAnsiTheme="majorBidi" w:cstheme="majorBidi"/>
          <w:color w:val="000000"/>
          <w:sz w:val="20"/>
        </w:rPr>
        <w:t xml:space="preserve"> </w:t>
      </w:r>
      <w:bookmarkStart w:id="44" w:name="OLE_LINK1"/>
      <w:r w:rsidRPr="000B073B">
        <w:rPr>
          <w:rFonts w:asciiTheme="majorBidi" w:hAnsiTheme="majorBidi" w:cstheme="majorBidi"/>
        </w:rPr>
        <w:t>Canada Criminal Code</w:t>
      </w:r>
      <w:r w:rsidRPr="000B073B">
        <w:rPr>
          <w:rStyle w:val="documentbody5"/>
          <w:rFonts w:asciiTheme="majorBidi" w:hAnsiTheme="majorBidi" w:cstheme="majorBidi"/>
          <w:color w:val="000000"/>
          <w:sz w:val="20"/>
        </w:rPr>
        <w:t>, R.S.C. 1985, c. C-46, s. 463</w:t>
      </w:r>
      <w:bookmarkEnd w:id="44"/>
      <w:r w:rsidRPr="000B073B">
        <w:rPr>
          <w:rStyle w:val="documentbody5"/>
          <w:rFonts w:asciiTheme="majorBidi" w:hAnsiTheme="majorBidi" w:cstheme="majorBidi"/>
          <w:color w:val="000000"/>
          <w:sz w:val="20"/>
        </w:rPr>
        <w:t xml:space="preserve"> (</w:t>
      </w:r>
      <w:r w:rsidRPr="000B073B">
        <w:rPr>
          <w:rFonts w:asciiTheme="majorBidi" w:hAnsiTheme="majorBidi" w:cstheme="majorBidi"/>
        </w:rPr>
        <w:t>providing that the punishment for attempt is “one-half of the longest term to which a person who is guilty of [the complete] offence is liable”).</w:t>
      </w:r>
      <w:proofErr w:type="gramEnd"/>
    </w:p>
  </w:footnote>
  <w:footnote w:id="179">
    <w:p w14:paraId="65AFEA13" w14:textId="77777777" w:rsidR="0095491D" w:rsidRPr="000B073B" w:rsidRDefault="0095491D" w:rsidP="007D2F47">
      <w:pPr>
        <w:bidi w:val="0"/>
        <w:spacing w:after="120" w:line="225" w:lineRule="atLeast"/>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i/>
          <w:iCs/>
          <w:sz w:val="20"/>
          <w:szCs w:val="20"/>
        </w:rPr>
        <w:t>See, e.g.,</w:t>
      </w:r>
      <w:r w:rsidRPr="000B073B">
        <w:rPr>
          <w:rFonts w:asciiTheme="majorBidi" w:hAnsiTheme="majorBidi" w:cstheme="majorBidi"/>
          <w:sz w:val="20"/>
          <w:szCs w:val="20"/>
        </w:rPr>
        <w:t xml:space="preserve"> </w:t>
      </w:r>
      <w:r w:rsidRPr="000B073B">
        <w:rPr>
          <w:rFonts w:asciiTheme="majorBidi" w:hAnsiTheme="majorBidi" w:cstheme="majorBidi"/>
          <w:smallCaps/>
          <w:sz w:val="20"/>
          <w:szCs w:val="20"/>
        </w:rPr>
        <w:t>Cal Penal Code</w:t>
      </w:r>
      <w:r w:rsidRPr="000B073B">
        <w:rPr>
          <w:rFonts w:asciiTheme="majorBidi" w:hAnsiTheme="majorBidi" w:cstheme="majorBidi"/>
          <w:sz w:val="20"/>
          <w:szCs w:val="20"/>
        </w:rPr>
        <w:t xml:space="preserve"> § 664 (Deering 2016); </w:t>
      </w:r>
      <w:r w:rsidRPr="000B073B">
        <w:rPr>
          <w:rFonts w:asciiTheme="majorBidi" w:hAnsiTheme="majorBidi" w:cstheme="majorBidi"/>
          <w:smallCaps/>
          <w:sz w:val="20"/>
          <w:szCs w:val="20"/>
        </w:rPr>
        <w:t>Ga. Code Ann.</w:t>
      </w:r>
      <w:r w:rsidRPr="000B073B">
        <w:rPr>
          <w:rFonts w:asciiTheme="majorBidi" w:hAnsiTheme="majorBidi" w:cstheme="majorBidi"/>
          <w:sz w:val="20"/>
          <w:szCs w:val="20"/>
        </w:rPr>
        <w:t xml:space="preserve"> § 16-4-6 (2015) (punishment for attempts prescribed at half the maximum sentence for the complete crime)</w:t>
      </w:r>
      <w:proofErr w:type="gramStart"/>
      <w:r w:rsidRPr="000B073B">
        <w:rPr>
          <w:rFonts w:asciiTheme="majorBidi" w:hAnsiTheme="majorBidi" w:cstheme="majorBidi"/>
          <w:sz w:val="20"/>
          <w:szCs w:val="20"/>
        </w:rPr>
        <w:t>;</w:t>
      </w:r>
      <w:proofErr w:type="gramEnd"/>
      <w:r w:rsidRPr="000B073B">
        <w:rPr>
          <w:rFonts w:asciiTheme="majorBidi" w:hAnsiTheme="majorBidi" w:cstheme="majorBidi"/>
          <w:color w:val="000000"/>
          <w:sz w:val="20"/>
          <w:szCs w:val="20"/>
        </w:rPr>
        <w:br/>
      </w:r>
      <w:r w:rsidRPr="000B073B">
        <w:rPr>
          <w:rFonts w:asciiTheme="majorBidi" w:hAnsiTheme="majorBidi" w:cstheme="majorBidi"/>
          <w:smallCaps/>
          <w:sz w:val="20"/>
          <w:szCs w:val="20"/>
        </w:rPr>
        <w:t xml:space="preserve">Colo. Rev. Stat. § </w:t>
      </w:r>
      <w:r w:rsidRPr="000B073B">
        <w:rPr>
          <w:rFonts w:asciiTheme="majorBidi" w:hAnsiTheme="majorBidi" w:cstheme="majorBidi"/>
          <w:sz w:val="20"/>
          <w:szCs w:val="20"/>
        </w:rPr>
        <w:t>18-2-101(2015) (lowering the class of felony by one for most attempted crimes).</w:t>
      </w:r>
    </w:p>
  </w:footnote>
  <w:footnote w:id="180">
    <w:p w14:paraId="28B3D8B5" w14:textId="77777777" w:rsidR="0095491D" w:rsidRPr="000B073B" w:rsidRDefault="0095491D" w:rsidP="006779F0">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i/>
          <w:iCs/>
          <w:sz w:val="20"/>
          <w:szCs w:val="20"/>
        </w:rPr>
        <w:t>See</w:t>
      </w:r>
      <w:r w:rsidRPr="000B073B">
        <w:rPr>
          <w:rFonts w:asciiTheme="majorBidi" w:hAnsiTheme="majorBidi" w:cstheme="majorBidi"/>
          <w:sz w:val="20"/>
          <w:szCs w:val="20"/>
        </w:rPr>
        <w:t xml:space="preserve"> Andrew Ashworth, </w:t>
      </w:r>
      <w:r w:rsidRPr="000B073B">
        <w:rPr>
          <w:rFonts w:asciiTheme="majorBidi" w:hAnsiTheme="majorBidi" w:cstheme="majorBidi"/>
          <w:i/>
          <w:iCs/>
          <w:sz w:val="20"/>
          <w:szCs w:val="20"/>
        </w:rPr>
        <w:t>Criminal Attempts and the Role of Resulting Harm under the Code and in the Common Law</w:t>
      </w:r>
      <w:r w:rsidRPr="000B073B">
        <w:rPr>
          <w:rFonts w:asciiTheme="majorBidi" w:hAnsiTheme="majorBidi" w:cstheme="majorBidi"/>
          <w:sz w:val="20"/>
          <w:szCs w:val="20"/>
        </w:rPr>
        <w:t xml:space="preserve">, 19 </w:t>
      </w:r>
      <w:r w:rsidRPr="000B073B">
        <w:rPr>
          <w:rFonts w:asciiTheme="majorBidi" w:hAnsiTheme="majorBidi" w:cstheme="majorBidi"/>
          <w:smallCaps/>
          <w:sz w:val="20"/>
          <w:szCs w:val="20"/>
        </w:rPr>
        <w:t>Rutgers L.J</w:t>
      </w:r>
      <w:r w:rsidRPr="000B073B">
        <w:rPr>
          <w:rFonts w:asciiTheme="majorBidi" w:hAnsiTheme="majorBidi" w:cstheme="majorBidi"/>
          <w:sz w:val="20"/>
          <w:szCs w:val="20"/>
        </w:rPr>
        <w:t>. 725, 739-740 (1987–1988).</w:t>
      </w:r>
    </w:p>
  </w:footnote>
  <w:footnote w:id="181">
    <w:p w14:paraId="168D709F"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Sanford H. </w:t>
      </w:r>
      <w:proofErr w:type="spellStart"/>
      <w:r w:rsidRPr="000B073B">
        <w:rPr>
          <w:rFonts w:asciiTheme="majorBidi" w:hAnsiTheme="majorBidi" w:cstheme="majorBidi"/>
        </w:rPr>
        <w:t>Kadish</w:t>
      </w:r>
      <w:proofErr w:type="spellEnd"/>
      <w:r w:rsidRPr="000B073B">
        <w:rPr>
          <w:rFonts w:asciiTheme="majorBidi" w:hAnsiTheme="majorBidi" w:cstheme="majorBidi"/>
        </w:rPr>
        <w:t xml:space="preserve">, </w:t>
      </w:r>
      <w:r w:rsidRPr="000B073B">
        <w:rPr>
          <w:rFonts w:asciiTheme="majorBidi" w:hAnsiTheme="majorBidi" w:cstheme="majorBidi"/>
          <w:i/>
          <w:iCs/>
        </w:rPr>
        <w:t>Foreword: The Criminal Law and the Luck of the Draw</w:t>
      </w:r>
      <w:r w:rsidRPr="000B073B">
        <w:rPr>
          <w:rFonts w:asciiTheme="majorBidi" w:hAnsiTheme="majorBidi" w:cstheme="majorBidi"/>
        </w:rPr>
        <w:t xml:space="preserve">, 84 </w:t>
      </w:r>
      <w:r w:rsidRPr="000B073B">
        <w:rPr>
          <w:rFonts w:asciiTheme="majorBidi" w:hAnsiTheme="majorBidi" w:cstheme="majorBidi"/>
          <w:smallCaps/>
        </w:rPr>
        <w:t>J. Crim. L. &amp; Criminology</w:t>
      </w:r>
      <w:r w:rsidRPr="000B073B">
        <w:rPr>
          <w:rFonts w:asciiTheme="majorBidi" w:hAnsiTheme="majorBidi" w:cstheme="majorBidi"/>
        </w:rPr>
        <w:t xml:space="preserve"> 679 (1994).</w:t>
      </w:r>
    </w:p>
  </w:footnote>
  <w:footnote w:id="182">
    <w:p w14:paraId="4B264792"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w:t>
      </w:r>
    </w:p>
  </w:footnote>
  <w:footnote w:id="183">
    <w:p w14:paraId="169494A4"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generally</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xml:space="preserve">. </w:t>
      </w:r>
    </w:p>
  </w:footnote>
  <w:footnote w:id="184">
    <w:p w14:paraId="5D1720EE"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 xml:space="preserve">See </w:t>
      </w:r>
      <w:r w:rsidRPr="000B073B">
        <w:rPr>
          <w:rFonts w:asciiTheme="majorBidi" w:hAnsiTheme="majorBidi" w:cstheme="majorBidi"/>
        </w:rPr>
        <w:t xml:space="preserve">Steven Shavell, </w:t>
      </w:r>
      <w:r w:rsidRPr="000B073B">
        <w:rPr>
          <w:rFonts w:asciiTheme="majorBidi" w:hAnsiTheme="majorBidi" w:cstheme="majorBidi"/>
          <w:i/>
          <w:iCs/>
        </w:rPr>
        <w:t>Deterrence and the Punishment of Attempts</w:t>
      </w:r>
      <w:r w:rsidRPr="000B073B">
        <w:rPr>
          <w:rFonts w:asciiTheme="majorBidi" w:hAnsiTheme="majorBidi" w:cstheme="majorBidi"/>
        </w:rPr>
        <w:t xml:space="preserve">, 19 </w:t>
      </w:r>
      <w:r w:rsidRPr="000B073B">
        <w:rPr>
          <w:rFonts w:asciiTheme="majorBidi" w:hAnsiTheme="majorBidi" w:cstheme="majorBidi"/>
          <w:smallCaps/>
        </w:rPr>
        <w:t>J. Legal Stud</w:t>
      </w:r>
      <w:r w:rsidRPr="000B073B">
        <w:rPr>
          <w:rFonts w:asciiTheme="majorBidi" w:hAnsiTheme="majorBidi" w:cstheme="majorBidi"/>
        </w:rPr>
        <w:t>. 435, 441, 456 (1990).</w:t>
      </w:r>
    </w:p>
  </w:footnote>
  <w:footnote w:id="185">
    <w:p w14:paraId="5B5743FE"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Kimberly D. Kessler, </w:t>
      </w:r>
      <w:r w:rsidRPr="000B073B">
        <w:rPr>
          <w:rFonts w:asciiTheme="majorBidi" w:hAnsiTheme="majorBidi" w:cstheme="majorBidi"/>
          <w:i/>
          <w:iCs/>
        </w:rPr>
        <w:t>The Role of Luck in the Criminal Law</w:t>
      </w:r>
      <w:r w:rsidRPr="000B073B">
        <w:rPr>
          <w:rFonts w:asciiTheme="majorBidi" w:hAnsiTheme="majorBidi" w:cstheme="majorBidi"/>
        </w:rPr>
        <w:t xml:space="preserve">, 142 </w:t>
      </w:r>
      <w:r w:rsidRPr="000B073B">
        <w:rPr>
          <w:rFonts w:asciiTheme="majorBidi" w:hAnsiTheme="majorBidi" w:cstheme="majorBidi"/>
          <w:smallCaps/>
        </w:rPr>
        <w:t>U. Penn. L. Rev.</w:t>
      </w:r>
      <w:r w:rsidRPr="000B073B">
        <w:rPr>
          <w:rFonts w:asciiTheme="majorBidi" w:hAnsiTheme="majorBidi" w:cstheme="majorBidi"/>
        </w:rPr>
        <w:t xml:space="preserve"> 2183, 2211-2223 (1994).</w:t>
      </w:r>
    </w:p>
  </w:footnote>
  <w:footnote w:id="186">
    <w:p w14:paraId="3DD858F1"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Shavell,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_Ref427011855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170</w:t>
      </w:r>
      <w:r w:rsidRPr="000B073B">
        <w:rPr>
          <w:rFonts w:asciiTheme="majorBidi" w:hAnsiTheme="majorBidi" w:cstheme="majorBidi"/>
        </w:rPr>
        <w:fldChar w:fldCharType="end"/>
      </w:r>
      <w:r w:rsidRPr="000B073B">
        <w:rPr>
          <w:rFonts w:asciiTheme="majorBidi" w:hAnsiTheme="majorBidi" w:cstheme="majorBidi"/>
        </w:rPr>
        <w:t xml:space="preserve">, at 452-55 (arguing that punishment of incomplete crimes should be mitigated as means to reduce error costs); David Enoch &amp; Andrei </w:t>
      </w:r>
      <w:proofErr w:type="spellStart"/>
      <w:r w:rsidRPr="000B073B">
        <w:rPr>
          <w:rFonts w:asciiTheme="majorBidi" w:hAnsiTheme="majorBidi" w:cstheme="majorBidi"/>
        </w:rPr>
        <w:t>Marmor</w:t>
      </w:r>
      <w:proofErr w:type="spellEnd"/>
      <w:r w:rsidRPr="000B073B">
        <w:rPr>
          <w:rFonts w:asciiTheme="majorBidi" w:hAnsiTheme="majorBidi" w:cstheme="majorBidi"/>
        </w:rPr>
        <w:t xml:space="preserve">, </w:t>
      </w:r>
      <w:r w:rsidRPr="000B073B">
        <w:rPr>
          <w:rFonts w:asciiTheme="majorBidi" w:hAnsiTheme="majorBidi" w:cstheme="majorBidi"/>
          <w:i/>
          <w:iCs/>
        </w:rPr>
        <w:t>The Case Against Moral Luck</w:t>
      </w:r>
      <w:r w:rsidRPr="000B073B">
        <w:rPr>
          <w:rFonts w:asciiTheme="majorBidi" w:hAnsiTheme="majorBidi" w:cstheme="majorBidi"/>
        </w:rPr>
        <w:t xml:space="preserve">, 26 </w:t>
      </w:r>
      <w:r w:rsidRPr="000B073B">
        <w:rPr>
          <w:rFonts w:asciiTheme="majorBidi" w:hAnsiTheme="majorBidi" w:cstheme="majorBidi"/>
          <w:smallCaps/>
        </w:rPr>
        <w:t>L. &amp; Phil</w:t>
      </w:r>
      <w:r w:rsidRPr="000B073B">
        <w:rPr>
          <w:rFonts w:asciiTheme="majorBidi" w:hAnsiTheme="majorBidi" w:cstheme="majorBidi"/>
        </w:rPr>
        <w:t xml:space="preserve">. 405, 415-16 (2007) (integrating the intensified potential for error into a deontological framework). </w:t>
      </w:r>
    </w:p>
  </w:footnote>
  <w:footnote w:id="187">
    <w:p w14:paraId="2FD8DE15"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Richard A. Posner, </w:t>
      </w:r>
      <w:r w:rsidRPr="000B073B">
        <w:rPr>
          <w:rFonts w:asciiTheme="majorBidi" w:hAnsiTheme="majorBidi" w:cstheme="majorBidi"/>
          <w:i/>
          <w:iCs/>
        </w:rPr>
        <w:t>An Economic Theory of the Criminal Law</w:t>
      </w:r>
      <w:r w:rsidRPr="000B073B">
        <w:rPr>
          <w:rFonts w:asciiTheme="majorBidi" w:hAnsiTheme="majorBidi" w:cstheme="majorBidi"/>
        </w:rPr>
        <w:t xml:space="preserve">, 85 </w:t>
      </w:r>
      <w:r w:rsidRPr="000B073B">
        <w:rPr>
          <w:rFonts w:asciiTheme="majorBidi" w:hAnsiTheme="majorBidi" w:cstheme="majorBidi"/>
          <w:smallCaps/>
        </w:rPr>
        <w:t>Colum. L. Rev</w:t>
      </w:r>
      <w:r w:rsidRPr="000B073B">
        <w:rPr>
          <w:rFonts w:asciiTheme="majorBidi" w:hAnsiTheme="majorBidi" w:cstheme="majorBidi"/>
        </w:rPr>
        <w:t>. 1193, 1217-18 (1985).</w:t>
      </w:r>
    </w:p>
  </w:footnote>
  <w:footnote w:id="188">
    <w:p w14:paraId="2DCC9EE0" w14:textId="738D7DCB" w:rsidR="0095491D" w:rsidRPr="000B073B" w:rsidRDefault="0095491D" w:rsidP="00311D0D">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For numerous examples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LaFave</w:t>
      </w:r>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_Ref427673960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158</w:t>
      </w:r>
      <w:r w:rsidRPr="000B073B">
        <w:rPr>
          <w:rFonts w:asciiTheme="majorBidi" w:hAnsiTheme="majorBidi" w:cstheme="majorBidi"/>
        </w:rPr>
        <w:fldChar w:fldCharType="end"/>
      </w:r>
      <w:r w:rsidRPr="000B073B">
        <w:rPr>
          <w:rFonts w:asciiTheme="majorBidi" w:hAnsiTheme="majorBidi" w:cstheme="majorBidi"/>
        </w:rPr>
        <w:t>, at 206-208.</w:t>
      </w:r>
    </w:p>
  </w:footnote>
  <w:footnote w:id="189">
    <w:p w14:paraId="1DF7C9A6" w14:textId="77777777" w:rsidR="0095491D" w:rsidRPr="000B073B" w:rsidRDefault="0095491D" w:rsidP="007D2F47">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Michael T. Cahill, </w:t>
      </w:r>
      <w:r w:rsidRPr="000B073B">
        <w:rPr>
          <w:rFonts w:asciiTheme="majorBidi" w:hAnsiTheme="majorBidi" w:cstheme="majorBidi"/>
          <w:i/>
          <w:iCs/>
        </w:rPr>
        <w:t>Inchoate Crimes</w:t>
      </w:r>
      <w:r w:rsidRPr="000B073B">
        <w:rPr>
          <w:rFonts w:asciiTheme="majorBidi" w:hAnsiTheme="majorBidi" w:cstheme="majorBidi"/>
        </w:rPr>
        <w:t xml:space="preserve">, </w:t>
      </w:r>
      <w:r w:rsidRPr="000B073B">
        <w:rPr>
          <w:rFonts w:asciiTheme="majorBidi" w:hAnsiTheme="majorBidi" w:cstheme="majorBidi"/>
          <w:i/>
          <w:iCs/>
        </w:rPr>
        <w:t>in</w:t>
      </w:r>
      <w:r w:rsidRPr="000B073B">
        <w:rPr>
          <w:rFonts w:asciiTheme="majorBidi" w:hAnsiTheme="majorBidi" w:cstheme="majorBidi"/>
        </w:rPr>
        <w:t xml:space="preserve"> </w:t>
      </w:r>
      <w:r w:rsidRPr="000B073B">
        <w:rPr>
          <w:rFonts w:asciiTheme="majorBidi" w:hAnsiTheme="majorBidi" w:cstheme="majorBidi"/>
          <w:smallCaps/>
        </w:rPr>
        <w:t>The Oxford Handbook of Criminal Law</w:t>
      </w:r>
      <w:r w:rsidRPr="000B073B">
        <w:rPr>
          <w:rFonts w:asciiTheme="majorBidi" w:hAnsiTheme="majorBidi" w:cstheme="majorBidi"/>
        </w:rPr>
        <w:t xml:space="preserve"> 512, 514 (Markus D. </w:t>
      </w:r>
      <w:proofErr w:type="spellStart"/>
      <w:r w:rsidRPr="000B073B">
        <w:rPr>
          <w:rFonts w:asciiTheme="majorBidi" w:hAnsiTheme="majorBidi" w:cstheme="majorBidi"/>
        </w:rPr>
        <w:t>Dubber</w:t>
      </w:r>
      <w:proofErr w:type="spellEnd"/>
      <w:r w:rsidRPr="000B073B">
        <w:rPr>
          <w:rFonts w:asciiTheme="majorBidi" w:hAnsiTheme="majorBidi" w:cstheme="majorBidi"/>
        </w:rPr>
        <w:t xml:space="preserve"> &amp; </w:t>
      </w:r>
      <w:proofErr w:type="spellStart"/>
      <w:r w:rsidRPr="000B073B">
        <w:rPr>
          <w:rFonts w:asciiTheme="majorBidi" w:hAnsiTheme="majorBidi" w:cstheme="majorBidi"/>
        </w:rPr>
        <w:t>Tatjana</w:t>
      </w:r>
      <w:proofErr w:type="spellEnd"/>
      <w:r w:rsidRPr="000B073B">
        <w:rPr>
          <w:rFonts w:asciiTheme="majorBidi" w:hAnsiTheme="majorBidi" w:cstheme="majorBidi"/>
        </w:rPr>
        <w:t xml:space="preserve"> </w:t>
      </w:r>
      <w:proofErr w:type="spellStart"/>
      <w:r w:rsidRPr="000B073B">
        <w:rPr>
          <w:rFonts w:asciiTheme="majorBidi" w:hAnsiTheme="majorBidi" w:cstheme="majorBidi"/>
        </w:rPr>
        <w:t>Hörnle</w:t>
      </w:r>
      <w:proofErr w:type="spellEnd"/>
      <w:r w:rsidRPr="000B073B">
        <w:rPr>
          <w:rFonts w:asciiTheme="majorBidi" w:hAnsiTheme="majorBidi" w:cstheme="majorBidi"/>
        </w:rPr>
        <w:t xml:space="preserve"> eds., 2015).</w:t>
      </w:r>
    </w:p>
  </w:footnote>
  <w:footnote w:id="190">
    <w:p w14:paraId="45FFA9B7" w14:textId="77777777" w:rsidR="0095491D" w:rsidRPr="000B073B" w:rsidRDefault="0095491D" w:rsidP="000D7334">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smallCaps/>
        </w:rPr>
        <w:t>Or. Rev. Stat.</w:t>
      </w:r>
      <w:r w:rsidRPr="000B073B">
        <w:rPr>
          <w:rFonts w:asciiTheme="majorBidi" w:hAnsiTheme="majorBidi" w:cstheme="majorBidi"/>
        </w:rPr>
        <w:t xml:space="preserve"> § 164.235 (2015); </w:t>
      </w:r>
      <w:r w:rsidRPr="000B073B">
        <w:rPr>
          <w:rFonts w:asciiTheme="majorBidi" w:hAnsiTheme="majorBidi" w:cstheme="majorBidi"/>
          <w:smallCaps/>
        </w:rPr>
        <w:t>N.M. Stat. Ann.</w:t>
      </w:r>
      <w:r w:rsidRPr="000B073B">
        <w:rPr>
          <w:rFonts w:asciiTheme="majorBidi" w:hAnsiTheme="majorBidi" w:cstheme="majorBidi"/>
        </w:rPr>
        <w:t xml:space="preserve"> § 30-16-5 (LexisNexis 2015); </w:t>
      </w:r>
      <w:r w:rsidRPr="000B073B">
        <w:rPr>
          <w:rFonts w:asciiTheme="majorBidi" w:hAnsiTheme="majorBidi" w:cstheme="majorBidi"/>
          <w:smallCaps/>
        </w:rPr>
        <w:t>Alaska Stat.</w:t>
      </w:r>
      <w:r w:rsidRPr="000B073B">
        <w:rPr>
          <w:rFonts w:asciiTheme="majorBidi" w:hAnsiTheme="majorBidi" w:cstheme="majorBidi"/>
        </w:rPr>
        <w:t xml:space="preserve"> § 11.46.315 (2015); </w:t>
      </w:r>
      <w:proofErr w:type="spellStart"/>
      <w:r w:rsidRPr="000B073B">
        <w:rPr>
          <w:rFonts w:asciiTheme="majorBidi" w:hAnsiTheme="majorBidi" w:cstheme="majorBidi"/>
          <w:smallCaps/>
        </w:rPr>
        <w:t>Mont.Code</w:t>
      </w:r>
      <w:proofErr w:type="spellEnd"/>
      <w:r w:rsidRPr="000B073B">
        <w:rPr>
          <w:rFonts w:asciiTheme="majorBidi" w:hAnsiTheme="majorBidi" w:cstheme="majorBidi"/>
          <w:smallCaps/>
        </w:rPr>
        <w:t xml:space="preserve"> Ann.</w:t>
      </w:r>
      <w:r w:rsidRPr="000B073B">
        <w:rPr>
          <w:rFonts w:asciiTheme="majorBidi" w:hAnsiTheme="majorBidi" w:cstheme="majorBidi"/>
        </w:rPr>
        <w:t xml:space="preserve"> § 45-6-205 (2015) (possession of burglary tools); </w:t>
      </w:r>
      <w:r w:rsidRPr="000B073B">
        <w:rPr>
          <w:rFonts w:asciiTheme="majorBidi" w:hAnsiTheme="majorBidi" w:cstheme="majorBidi"/>
          <w:smallCaps/>
        </w:rPr>
        <w:t>Del. Code Ann.</w:t>
      </w:r>
      <w:r w:rsidRPr="000B073B">
        <w:rPr>
          <w:rFonts w:asciiTheme="majorBidi" w:hAnsiTheme="majorBidi" w:cstheme="majorBidi"/>
        </w:rPr>
        <w:t xml:space="preserve"> Tit. 11 § 670; 720 </w:t>
      </w:r>
      <w:r w:rsidRPr="000B073B">
        <w:rPr>
          <w:rFonts w:asciiTheme="majorBidi" w:hAnsiTheme="majorBidi" w:cstheme="majorBidi"/>
          <w:smallCaps/>
        </w:rPr>
        <w:t>Ill. Comp. Stat. Ann.</w:t>
      </w:r>
      <w:r w:rsidRPr="000B073B">
        <w:rPr>
          <w:rFonts w:asciiTheme="majorBidi" w:hAnsiTheme="majorBidi" w:cstheme="majorBidi"/>
        </w:rPr>
        <w:t xml:space="preserve"> 5/16-1 (LexisNexis 2015) (possession of explosives); </w:t>
      </w:r>
      <w:r w:rsidRPr="000B073B">
        <w:rPr>
          <w:rFonts w:asciiTheme="majorBidi" w:hAnsiTheme="majorBidi" w:cstheme="majorBidi"/>
          <w:smallCaps/>
        </w:rPr>
        <w:t>Fla. Stat.</w:t>
      </w:r>
      <w:r w:rsidRPr="000B073B">
        <w:rPr>
          <w:rFonts w:asciiTheme="majorBidi" w:hAnsiTheme="majorBidi" w:cstheme="majorBidi"/>
        </w:rPr>
        <w:t xml:space="preserve"> § 590.29 (2015); </w:t>
      </w:r>
      <w:r w:rsidRPr="000B073B">
        <w:rPr>
          <w:rFonts w:asciiTheme="majorBidi" w:hAnsiTheme="majorBidi" w:cstheme="majorBidi"/>
          <w:smallCaps/>
        </w:rPr>
        <w:t>Wash. Rev. Code Ann.</w:t>
      </w:r>
      <w:r w:rsidRPr="000B073B">
        <w:rPr>
          <w:rFonts w:asciiTheme="majorBidi" w:hAnsiTheme="majorBidi" w:cstheme="majorBidi"/>
        </w:rPr>
        <w:t xml:space="preserve"> § 9.40.120 (LexisNexis 2015) (incendiary devices).</w:t>
      </w:r>
    </w:p>
  </w:footnote>
  <w:footnote w:id="191">
    <w:p w14:paraId="7C1EA519" w14:textId="77777777" w:rsidR="0095491D" w:rsidRPr="000B073B" w:rsidRDefault="0095491D" w:rsidP="00D9696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Ira P. Robbins, </w:t>
      </w:r>
      <w:r w:rsidRPr="000B073B">
        <w:rPr>
          <w:rFonts w:asciiTheme="majorBidi" w:hAnsiTheme="majorBidi" w:cstheme="majorBidi"/>
          <w:i/>
          <w:iCs/>
        </w:rPr>
        <w:t>Double Inchoate Crime</w:t>
      </w:r>
      <w:r w:rsidRPr="000B073B">
        <w:rPr>
          <w:rFonts w:asciiTheme="majorBidi" w:hAnsiTheme="majorBidi" w:cstheme="majorBidi"/>
        </w:rPr>
        <w:t xml:space="preserve">, 26 </w:t>
      </w:r>
      <w:proofErr w:type="spellStart"/>
      <w:r w:rsidRPr="000B073B">
        <w:rPr>
          <w:rFonts w:asciiTheme="majorBidi" w:hAnsiTheme="majorBidi" w:cstheme="majorBidi"/>
          <w:smallCaps/>
        </w:rPr>
        <w:t>Harv</w:t>
      </w:r>
      <w:proofErr w:type="spellEnd"/>
      <w:r w:rsidRPr="000B073B">
        <w:rPr>
          <w:rFonts w:asciiTheme="majorBidi" w:hAnsiTheme="majorBidi" w:cstheme="majorBidi"/>
          <w:smallCaps/>
        </w:rPr>
        <w:t>. J. on Legis.</w:t>
      </w:r>
      <w:r w:rsidRPr="000B073B">
        <w:rPr>
          <w:rFonts w:asciiTheme="majorBidi" w:hAnsiTheme="majorBidi" w:cstheme="majorBidi"/>
        </w:rPr>
        <w:t xml:space="preserve"> 1, 97-98 (1989). </w:t>
      </w:r>
    </w:p>
  </w:footnote>
  <w:footnote w:id="192">
    <w:p w14:paraId="3EB0A532" w14:textId="161FD5B3" w:rsidR="0095491D" w:rsidRPr="000B073B" w:rsidRDefault="0095491D" w:rsidP="0017013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proofErr w:type="gramStart"/>
      <w:r w:rsidRPr="000B073B">
        <w:rPr>
          <w:rFonts w:asciiTheme="majorBidi" w:hAnsiTheme="majorBidi" w:cstheme="majorBidi"/>
          <w:smallCaps/>
        </w:rPr>
        <w:t>LaFave</w:t>
      </w:r>
      <w:r w:rsidRPr="000B073B">
        <w:rPr>
          <w:rFonts w:asciiTheme="majorBidi" w:hAnsiTheme="majorBidi" w:cstheme="majorBidi"/>
        </w:rPr>
        <w:t>,</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_Ref427673960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158</w:t>
      </w:r>
      <w:r w:rsidRPr="000B073B">
        <w:rPr>
          <w:rFonts w:asciiTheme="majorBidi" w:hAnsiTheme="majorBidi" w:cstheme="majorBidi"/>
        </w:rPr>
        <w:fldChar w:fldCharType="end"/>
      </w:r>
      <w:r w:rsidRPr="000B073B">
        <w:rPr>
          <w:rFonts w:asciiTheme="majorBidi" w:hAnsiTheme="majorBidi" w:cstheme="majorBidi"/>
        </w:rPr>
        <w:t>, at 213 (noting that “it is not enough to show that the defendant intended to do some unspecified criminal act”).</w:t>
      </w:r>
    </w:p>
  </w:footnote>
  <w:footnote w:id="193">
    <w:p w14:paraId="19BE4569" w14:textId="5E55FEBB" w:rsidR="0095491D" w:rsidRPr="000B073B" w:rsidRDefault="0095491D" w:rsidP="00311D0D">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proofErr w:type="gramStart"/>
      <w:r w:rsidRPr="000B073B">
        <w:rPr>
          <w:rFonts w:asciiTheme="majorBidi" w:hAnsiTheme="majorBidi" w:cstheme="majorBidi"/>
          <w:smallCaps/>
        </w:rPr>
        <w:t>LaFave</w:t>
      </w:r>
      <w:r w:rsidRPr="000B073B">
        <w:rPr>
          <w:rFonts w:asciiTheme="majorBidi" w:hAnsiTheme="majorBidi" w:cstheme="majorBidi"/>
        </w:rPr>
        <w:t>,</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_Ref427673960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158</w:t>
      </w:r>
      <w:r w:rsidRPr="000B073B">
        <w:rPr>
          <w:rFonts w:asciiTheme="majorBidi" w:hAnsiTheme="majorBidi" w:cstheme="majorBidi"/>
        </w:rPr>
        <w:fldChar w:fldCharType="end"/>
      </w:r>
      <w:r w:rsidRPr="000B073B">
        <w:rPr>
          <w:rFonts w:asciiTheme="majorBidi" w:hAnsiTheme="majorBidi" w:cstheme="majorBidi"/>
        </w:rPr>
        <w:t xml:space="preserve">, at 207 (reviewing different preparatory crimes that require showing of intent to commit a crime). This final point relates to the mental state associated with preparatory crimes and </w:t>
      </w:r>
      <w:proofErr w:type="gramStart"/>
      <w:r w:rsidRPr="000B073B">
        <w:rPr>
          <w:rFonts w:asciiTheme="majorBidi" w:hAnsiTheme="majorBidi" w:cstheme="majorBidi"/>
        </w:rPr>
        <w:t>will be further discussed</w:t>
      </w:r>
      <w:proofErr w:type="gramEnd"/>
      <w:r w:rsidRPr="000B073B">
        <w:rPr>
          <w:rFonts w:asciiTheme="majorBidi" w:hAnsiTheme="majorBidi" w:cstheme="majorBidi"/>
        </w:rPr>
        <w:t xml:space="preserve"> in the text below. </w:t>
      </w:r>
      <w:r w:rsidRPr="000B073B">
        <w:rPr>
          <w:rFonts w:asciiTheme="majorBidi" w:hAnsiTheme="majorBidi" w:cstheme="majorBidi"/>
          <w:i/>
          <w:iCs/>
        </w:rPr>
        <w:t>See infra</w:t>
      </w:r>
      <w:r w:rsidRPr="000B073B">
        <w:rPr>
          <w:rFonts w:asciiTheme="majorBidi" w:hAnsiTheme="majorBidi" w:cstheme="majorBidi"/>
        </w:rPr>
        <w:t xml:space="preserve"> subsection IV 3.   </w:t>
      </w:r>
    </w:p>
  </w:footnote>
  <w:footnote w:id="194">
    <w:p w14:paraId="3379833E" w14:textId="77777777" w:rsidR="0095491D" w:rsidRPr="000B073B" w:rsidRDefault="0095491D" w:rsidP="00C2252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The criminalization of possession of burglary tools routinely hinges on the intent of the possessor. </w:t>
      </w:r>
      <w:r w:rsidRPr="000B073B">
        <w:rPr>
          <w:rFonts w:asciiTheme="majorBidi" w:hAnsiTheme="majorBidi" w:cstheme="majorBidi"/>
          <w:i/>
          <w:iCs/>
        </w:rPr>
        <w:t>See, e.g.,</w:t>
      </w:r>
      <w:r w:rsidRPr="000B073B">
        <w:rPr>
          <w:rFonts w:asciiTheme="majorBidi" w:hAnsiTheme="majorBidi" w:cstheme="majorBidi"/>
        </w:rPr>
        <w:t xml:space="preserve"> </w:t>
      </w:r>
      <w:r w:rsidRPr="000B073B">
        <w:rPr>
          <w:rFonts w:asciiTheme="majorBidi" w:hAnsiTheme="majorBidi" w:cstheme="majorBidi"/>
          <w:smallCaps/>
        </w:rPr>
        <w:t>Or. Rev. Stat.</w:t>
      </w:r>
      <w:r w:rsidRPr="000B073B">
        <w:rPr>
          <w:rFonts w:asciiTheme="majorBidi" w:hAnsiTheme="majorBidi" w:cstheme="majorBidi"/>
        </w:rPr>
        <w:t xml:space="preserve"> § 164.235 (2015) (intent to commit forcible entry); </w:t>
      </w:r>
      <w:r w:rsidRPr="000B073B">
        <w:rPr>
          <w:rFonts w:asciiTheme="majorBidi" w:hAnsiTheme="majorBidi" w:cstheme="majorBidi"/>
          <w:smallCaps/>
        </w:rPr>
        <w:t>N.M. Stat. Ann.</w:t>
      </w:r>
      <w:r w:rsidRPr="000B073B">
        <w:rPr>
          <w:rFonts w:asciiTheme="majorBidi" w:hAnsiTheme="majorBidi" w:cstheme="majorBidi"/>
        </w:rPr>
        <w:t xml:space="preserve"> § 30-16-5 (LexisNexis 2015) (intent to commit burglary); </w:t>
      </w:r>
      <w:r w:rsidRPr="000B073B">
        <w:rPr>
          <w:rFonts w:asciiTheme="majorBidi" w:hAnsiTheme="majorBidi" w:cstheme="majorBidi"/>
          <w:smallCaps/>
        </w:rPr>
        <w:t>Alaska Stat.</w:t>
      </w:r>
      <w:r w:rsidRPr="000B073B">
        <w:rPr>
          <w:rFonts w:asciiTheme="majorBidi" w:hAnsiTheme="majorBidi" w:cstheme="majorBidi"/>
        </w:rPr>
        <w:t xml:space="preserve"> § 11.46.315 (2015);</w:t>
      </w:r>
      <w:r w:rsidRPr="000B073B">
        <w:rPr>
          <w:rFonts w:asciiTheme="majorBidi" w:hAnsiTheme="majorBidi" w:cstheme="majorBidi"/>
          <w:smallCaps/>
        </w:rPr>
        <w:t xml:space="preserve"> </w:t>
      </w:r>
      <w:proofErr w:type="spellStart"/>
      <w:r w:rsidRPr="000B073B">
        <w:rPr>
          <w:rFonts w:asciiTheme="majorBidi" w:hAnsiTheme="majorBidi" w:cstheme="majorBidi"/>
          <w:smallCaps/>
        </w:rPr>
        <w:t>Mont.Code</w:t>
      </w:r>
      <w:proofErr w:type="spellEnd"/>
      <w:r w:rsidRPr="000B073B">
        <w:rPr>
          <w:rFonts w:asciiTheme="majorBidi" w:hAnsiTheme="majorBidi" w:cstheme="majorBidi"/>
          <w:smallCaps/>
        </w:rPr>
        <w:t xml:space="preserve"> Ann.</w:t>
      </w:r>
      <w:r w:rsidRPr="000B073B">
        <w:rPr>
          <w:rFonts w:asciiTheme="majorBidi" w:hAnsiTheme="majorBidi" w:cstheme="majorBidi"/>
        </w:rPr>
        <w:t xml:space="preserve"> § 45-6-205 (2015) (intent to commit some offence). </w:t>
      </w:r>
    </w:p>
  </w:footnote>
  <w:footnote w:id="195">
    <w:p w14:paraId="57ACC0E8" w14:textId="77777777" w:rsidR="0095491D" w:rsidRPr="000B073B" w:rsidRDefault="0095491D" w:rsidP="00D9696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Andrew Ashworth, </w:t>
      </w:r>
      <w:r w:rsidRPr="000B073B">
        <w:rPr>
          <w:rFonts w:asciiTheme="majorBidi" w:hAnsiTheme="majorBidi" w:cstheme="majorBidi"/>
          <w:i/>
          <w:iCs/>
        </w:rPr>
        <w:t xml:space="preserve">Conceptions of </w:t>
      </w:r>
      <w:proofErr w:type="spellStart"/>
      <w:r w:rsidRPr="000B073B">
        <w:rPr>
          <w:rFonts w:asciiTheme="majorBidi" w:hAnsiTheme="majorBidi" w:cstheme="majorBidi"/>
          <w:i/>
          <w:iCs/>
        </w:rPr>
        <w:t>Overcriminalization</w:t>
      </w:r>
      <w:proofErr w:type="spellEnd"/>
      <w:r w:rsidRPr="000B073B">
        <w:rPr>
          <w:rFonts w:asciiTheme="majorBidi" w:hAnsiTheme="majorBidi" w:cstheme="majorBidi"/>
        </w:rPr>
        <w:t xml:space="preserve">, 5 </w:t>
      </w:r>
      <w:r w:rsidRPr="000B073B">
        <w:rPr>
          <w:rFonts w:asciiTheme="majorBidi" w:hAnsiTheme="majorBidi" w:cstheme="majorBidi"/>
          <w:smallCaps/>
          <w:color w:val="000000"/>
        </w:rPr>
        <w:t>Ohio St. J. Crim. L.</w:t>
      </w:r>
      <w:r w:rsidRPr="000B073B">
        <w:rPr>
          <w:rFonts w:asciiTheme="majorBidi" w:hAnsiTheme="majorBidi" w:cstheme="majorBidi"/>
        </w:rPr>
        <w:t xml:space="preserve"> 405, 414-5 (2008).</w:t>
      </w:r>
    </w:p>
  </w:footnote>
  <w:footnote w:id="196">
    <w:p w14:paraId="197166E4" w14:textId="77777777" w:rsidR="0095491D" w:rsidRPr="000B073B" w:rsidRDefault="0095491D" w:rsidP="00361244">
      <w:pPr>
        <w:pStyle w:val="Default"/>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sz w:val="20"/>
          <w:szCs w:val="20"/>
        </w:rPr>
        <w:t xml:space="preserve"> Kimberly Kessler Ferzan, </w:t>
      </w:r>
      <w:r w:rsidRPr="000B073B">
        <w:rPr>
          <w:rFonts w:asciiTheme="majorBidi" w:hAnsiTheme="majorBidi" w:cstheme="majorBidi"/>
          <w:i/>
          <w:iCs/>
          <w:sz w:val="20"/>
          <w:szCs w:val="20"/>
        </w:rPr>
        <w:t xml:space="preserve">Prevention, Wrongdoing, and the Harm Principle’s Breaking Point, </w:t>
      </w:r>
      <w:r w:rsidRPr="000B073B">
        <w:rPr>
          <w:rFonts w:asciiTheme="majorBidi" w:hAnsiTheme="majorBidi" w:cstheme="majorBidi"/>
          <w:sz w:val="20"/>
          <w:szCs w:val="20"/>
        </w:rPr>
        <w:t xml:space="preserve">10 </w:t>
      </w:r>
      <w:r w:rsidRPr="000B073B">
        <w:rPr>
          <w:rFonts w:asciiTheme="majorBidi" w:hAnsiTheme="majorBidi" w:cstheme="majorBidi"/>
          <w:smallCaps/>
          <w:sz w:val="20"/>
          <w:szCs w:val="20"/>
        </w:rPr>
        <w:t>Ohio St. J. Crim. L.</w:t>
      </w:r>
      <w:r w:rsidRPr="000B073B">
        <w:rPr>
          <w:rFonts w:asciiTheme="majorBidi" w:hAnsiTheme="majorBidi" w:cstheme="majorBidi"/>
          <w:sz w:val="20"/>
          <w:szCs w:val="20"/>
        </w:rPr>
        <w:t xml:space="preserve"> 679, 691 (2013).</w:t>
      </w:r>
    </w:p>
  </w:footnote>
  <w:footnote w:id="197">
    <w:p w14:paraId="2E84EDCE" w14:textId="77777777" w:rsidR="0095491D" w:rsidRPr="000B073B" w:rsidRDefault="0095491D" w:rsidP="00361244">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xml:space="preserve">. at 690-92. </w:t>
      </w:r>
      <w:r w:rsidRPr="000B073B">
        <w:rPr>
          <w:rFonts w:asciiTheme="majorBidi" w:hAnsiTheme="majorBidi" w:cstheme="majorBidi"/>
          <w:i/>
          <w:iCs/>
        </w:rPr>
        <w:t>See also</w:t>
      </w:r>
      <w:r w:rsidRPr="000B073B">
        <w:rPr>
          <w:rFonts w:asciiTheme="majorBidi" w:hAnsiTheme="majorBidi" w:cstheme="majorBidi"/>
        </w:rPr>
        <w:t xml:space="preserve">, </w:t>
      </w:r>
      <w:r w:rsidRPr="000B073B">
        <w:rPr>
          <w:rStyle w:val="documentbody"/>
          <w:rFonts w:asciiTheme="majorBidi" w:hAnsiTheme="majorBidi" w:cstheme="majorBidi"/>
        </w:rPr>
        <w:t xml:space="preserve">Stuart P. Green, </w:t>
      </w:r>
      <w:r w:rsidRPr="000B073B">
        <w:rPr>
          <w:rStyle w:val="documentbody"/>
          <w:rFonts w:asciiTheme="majorBidi" w:hAnsiTheme="majorBidi" w:cstheme="majorBidi"/>
          <w:i/>
          <w:iCs/>
        </w:rPr>
        <w:t>Thieving and Receiving: Overcriminalizing the Possession of Stolen Property</w:t>
      </w:r>
      <w:r w:rsidRPr="000B073B">
        <w:rPr>
          <w:rStyle w:val="documentbody"/>
          <w:rFonts w:asciiTheme="majorBidi" w:hAnsiTheme="majorBidi" w:cstheme="majorBidi"/>
        </w:rPr>
        <w:t xml:space="preserve">, 14 </w:t>
      </w:r>
      <w:r w:rsidRPr="000B073B">
        <w:rPr>
          <w:rFonts w:asciiTheme="majorBidi" w:hAnsiTheme="majorBidi" w:cstheme="majorBidi"/>
          <w:smallCaps/>
          <w:color w:val="000000"/>
        </w:rPr>
        <w:t>New Crim. L. Rev</w:t>
      </w:r>
      <w:r w:rsidRPr="000B073B">
        <w:rPr>
          <w:rStyle w:val="documentbody"/>
          <w:rFonts w:asciiTheme="majorBidi" w:hAnsiTheme="majorBidi" w:cstheme="majorBidi"/>
        </w:rPr>
        <w:t xml:space="preserve">. 35, 47 (2011) (describing the offence as overbroad since it criminalizes innocent conduct). </w:t>
      </w:r>
    </w:p>
  </w:footnote>
  <w:footnote w:id="198">
    <w:p w14:paraId="3CA3BB6C" w14:textId="77777777" w:rsidR="0095491D" w:rsidRPr="000B073B" w:rsidRDefault="0095491D" w:rsidP="00A66E5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 xml:space="preserve">See </w:t>
      </w:r>
      <w:r w:rsidRPr="000B073B">
        <w:rPr>
          <w:rFonts w:asciiTheme="majorBidi" w:hAnsiTheme="majorBidi" w:cstheme="majorBidi"/>
          <w:smallCaps/>
        </w:rPr>
        <w:t>Or. Rev. Stat.</w:t>
      </w:r>
      <w:r w:rsidRPr="000B073B">
        <w:rPr>
          <w:rFonts w:asciiTheme="majorBidi" w:hAnsiTheme="majorBidi" w:cstheme="majorBidi"/>
        </w:rPr>
        <w:t xml:space="preserve"> § 164.235 (2015)</w:t>
      </w:r>
      <w:proofErr w:type="gramStart"/>
      <w:r w:rsidRPr="000B073B">
        <w:rPr>
          <w:rFonts w:asciiTheme="majorBidi" w:hAnsiTheme="majorBidi" w:cstheme="majorBidi"/>
          <w:rtl/>
        </w:rPr>
        <w:t>;</w:t>
      </w:r>
      <w:proofErr w:type="gramEnd"/>
      <w:r w:rsidRPr="000B073B">
        <w:rPr>
          <w:rFonts w:asciiTheme="majorBidi" w:hAnsiTheme="majorBidi" w:cstheme="majorBidi"/>
        </w:rPr>
        <w:t xml:space="preserve"> </w:t>
      </w:r>
      <w:r w:rsidRPr="000B073B">
        <w:rPr>
          <w:rFonts w:asciiTheme="majorBidi" w:hAnsiTheme="majorBidi" w:cstheme="majorBidi"/>
          <w:smallCaps/>
        </w:rPr>
        <w:t>Alaska Stat.</w:t>
      </w:r>
      <w:r w:rsidRPr="000B073B">
        <w:rPr>
          <w:rFonts w:asciiTheme="majorBidi" w:hAnsiTheme="majorBidi" w:cstheme="majorBidi"/>
        </w:rPr>
        <w:t xml:space="preserve"> § 11.46.315 (2015).</w:t>
      </w:r>
    </w:p>
  </w:footnote>
  <w:footnote w:id="199">
    <w:p w14:paraId="7059F1ED" w14:textId="77777777" w:rsidR="0095491D" w:rsidRPr="000B073B" w:rsidRDefault="0095491D" w:rsidP="003D3ED2">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 xml:space="preserve">See </w:t>
      </w:r>
      <w:r w:rsidRPr="000B073B">
        <w:rPr>
          <w:rFonts w:asciiTheme="majorBidi" w:hAnsiTheme="majorBidi" w:cstheme="majorBidi"/>
          <w:smallCaps/>
        </w:rPr>
        <w:t>Wayne F. LaFave, Substantive Criminal Law</w:t>
      </w:r>
      <w:r w:rsidRPr="000B073B">
        <w:rPr>
          <w:rFonts w:asciiTheme="majorBidi" w:hAnsiTheme="majorBidi" w:cstheme="majorBidi"/>
        </w:rPr>
        <w:t xml:space="preserve"> 224 (</w:t>
      </w:r>
      <w:proofErr w:type="gramStart"/>
      <w:r w:rsidRPr="000B073B">
        <w:rPr>
          <w:rFonts w:asciiTheme="majorBidi" w:hAnsiTheme="majorBidi" w:cstheme="majorBidi"/>
        </w:rPr>
        <w:t>2d</w:t>
      </w:r>
      <w:proofErr w:type="gramEnd"/>
      <w:r w:rsidRPr="000B073B">
        <w:rPr>
          <w:rFonts w:asciiTheme="majorBidi" w:hAnsiTheme="majorBidi" w:cstheme="majorBidi"/>
        </w:rPr>
        <w:t xml:space="preserve"> ed., Vol. III, 2003).</w:t>
      </w:r>
    </w:p>
  </w:footnote>
  <w:footnote w:id="200">
    <w:p w14:paraId="45A30D2E" w14:textId="77777777" w:rsidR="0095491D" w:rsidRPr="000B073B" w:rsidRDefault="0095491D" w:rsidP="00E3753B">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proofErr w:type="spellStart"/>
      <w:proofErr w:type="gramStart"/>
      <w:r w:rsidRPr="000B073B">
        <w:rPr>
          <w:rFonts w:asciiTheme="majorBidi" w:hAnsiTheme="majorBidi" w:cstheme="majorBidi"/>
        </w:rPr>
        <w:t>Kolber</w:t>
      </w:r>
      <w:proofErr w:type="spellEnd"/>
      <w:r w:rsidRPr="000B073B">
        <w:rPr>
          <w:rFonts w:asciiTheme="majorBidi" w:hAnsiTheme="majorBidi" w:cstheme="majorBidi"/>
        </w:rPr>
        <w:t>,</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_Ref433793783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8</w:t>
      </w:r>
      <w:r w:rsidRPr="000B073B">
        <w:rPr>
          <w:rFonts w:asciiTheme="majorBidi" w:hAnsiTheme="majorBidi" w:cstheme="majorBidi"/>
        </w:rPr>
        <w:fldChar w:fldCharType="end"/>
      </w:r>
      <w:r w:rsidRPr="000B073B">
        <w:rPr>
          <w:rFonts w:asciiTheme="majorBidi" w:hAnsiTheme="majorBidi" w:cstheme="majorBidi"/>
        </w:rPr>
        <w:t>, at 671.</w:t>
      </w:r>
    </w:p>
  </w:footnote>
  <w:footnote w:id="201">
    <w:p w14:paraId="1B3D6FC3" w14:textId="77777777" w:rsidR="0095491D" w:rsidRPr="000B073B" w:rsidRDefault="0095491D" w:rsidP="00AB78DE">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On mental states generally see </w:t>
      </w:r>
      <w:proofErr w:type="gramStart"/>
      <w:r w:rsidRPr="000B073B">
        <w:rPr>
          <w:rFonts w:asciiTheme="majorBidi" w:hAnsiTheme="majorBidi" w:cstheme="majorBidi"/>
          <w:smallCaps/>
        </w:rPr>
        <w:t>LaFave,</w:t>
      </w:r>
      <w:proofErr w:type="gramEnd"/>
      <w:r w:rsidRPr="000B073B">
        <w:rPr>
          <w:rFonts w:asciiTheme="majorBidi" w:hAnsiTheme="majorBidi" w:cstheme="majorBidi"/>
          <w:smallCaps/>
        </w:rPr>
        <w:t xml:space="preserve"> supra </w:t>
      </w:r>
      <w:r w:rsidRPr="000B073B">
        <w:rPr>
          <w:rFonts w:asciiTheme="majorBidi" w:hAnsiTheme="majorBidi" w:cstheme="majorBidi"/>
        </w:rPr>
        <w:t xml:space="preserve">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_Ref432075494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45</w:t>
      </w:r>
      <w:r w:rsidRPr="000B073B">
        <w:rPr>
          <w:rFonts w:asciiTheme="majorBidi" w:hAnsiTheme="majorBidi" w:cstheme="majorBidi"/>
        </w:rPr>
        <w:fldChar w:fldCharType="end"/>
      </w:r>
      <w:r w:rsidRPr="000B073B">
        <w:rPr>
          <w:rFonts w:asciiTheme="majorBidi" w:hAnsiTheme="majorBidi" w:cstheme="majorBidi"/>
        </w:rPr>
        <w:t xml:space="preserve"> at 331-39. </w:t>
      </w:r>
    </w:p>
  </w:footnote>
  <w:footnote w:id="202">
    <w:p w14:paraId="1EF53B59" w14:textId="241A2972" w:rsidR="0095491D" w:rsidRPr="000B073B" w:rsidRDefault="0095491D" w:rsidP="00B81BE1">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Alluding to the Latin maxim </w:t>
      </w:r>
      <w:proofErr w:type="gramStart"/>
      <w:r w:rsidRPr="000B073B">
        <w:rPr>
          <w:rFonts w:asciiTheme="majorBidi" w:hAnsiTheme="majorBidi" w:cstheme="majorBidi"/>
          <w:i/>
          <w:iCs/>
        </w:rPr>
        <w:t>actus</w:t>
      </w:r>
      <w:proofErr w:type="gramEnd"/>
      <w:r w:rsidRPr="000B073B">
        <w:rPr>
          <w:rFonts w:asciiTheme="majorBidi" w:hAnsiTheme="majorBidi" w:cstheme="majorBidi"/>
          <w:i/>
          <w:iCs/>
        </w:rPr>
        <w:t xml:space="preserve"> no </w:t>
      </w:r>
      <w:proofErr w:type="spellStart"/>
      <w:r w:rsidRPr="000B073B">
        <w:rPr>
          <w:rFonts w:asciiTheme="majorBidi" w:hAnsiTheme="majorBidi" w:cstheme="majorBidi"/>
          <w:i/>
          <w:iCs/>
        </w:rPr>
        <w:t>facit</w:t>
      </w:r>
      <w:proofErr w:type="spellEnd"/>
      <w:r w:rsidRPr="000B073B">
        <w:rPr>
          <w:rFonts w:asciiTheme="majorBidi" w:hAnsiTheme="majorBidi" w:cstheme="majorBidi"/>
          <w:i/>
          <w:iCs/>
        </w:rPr>
        <w:t xml:space="preserve"> </w:t>
      </w:r>
      <w:proofErr w:type="spellStart"/>
      <w:r w:rsidRPr="000B073B">
        <w:rPr>
          <w:rFonts w:asciiTheme="majorBidi" w:hAnsiTheme="majorBidi" w:cstheme="majorBidi"/>
          <w:i/>
          <w:iCs/>
        </w:rPr>
        <w:t>reum</w:t>
      </w:r>
      <w:proofErr w:type="spellEnd"/>
      <w:r w:rsidRPr="000B073B">
        <w:rPr>
          <w:rFonts w:asciiTheme="majorBidi" w:hAnsiTheme="majorBidi" w:cstheme="majorBidi"/>
          <w:i/>
          <w:iCs/>
        </w:rPr>
        <w:t xml:space="preserve"> nisi </w:t>
      </w:r>
      <w:proofErr w:type="spellStart"/>
      <w:r w:rsidRPr="000B073B">
        <w:rPr>
          <w:rFonts w:asciiTheme="majorBidi" w:hAnsiTheme="majorBidi" w:cstheme="majorBidi"/>
          <w:i/>
          <w:iCs/>
        </w:rPr>
        <w:t>mens</w:t>
      </w:r>
      <w:proofErr w:type="spellEnd"/>
      <w:r w:rsidRPr="000B073B">
        <w:rPr>
          <w:rFonts w:asciiTheme="majorBidi" w:hAnsiTheme="majorBidi" w:cstheme="majorBidi"/>
          <w:i/>
          <w:iCs/>
        </w:rPr>
        <w:t xml:space="preserve"> sit rea</w:t>
      </w:r>
      <w:r w:rsidRPr="000B073B">
        <w:rPr>
          <w:rFonts w:asciiTheme="majorBidi" w:hAnsiTheme="majorBidi" w:cstheme="majorBidi"/>
        </w:rPr>
        <w:t xml:space="preserve">. </w:t>
      </w:r>
      <w:proofErr w:type="gramStart"/>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LaFave</w:t>
      </w:r>
      <w:proofErr w:type="gramEnd"/>
      <w:r w:rsidRPr="000B073B">
        <w:rPr>
          <w:rFonts w:asciiTheme="majorBidi" w:hAnsiTheme="majorBidi" w:cstheme="majorBidi"/>
          <w:smallCaps/>
        </w:rPr>
        <w:t xml:space="preserve">, </w:t>
      </w:r>
      <w:proofErr w:type="gramStart"/>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_Ref432075494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45</w:t>
      </w:r>
      <w:r w:rsidRPr="000B073B">
        <w:rPr>
          <w:rFonts w:asciiTheme="majorBidi" w:hAnsiTheme="majorBidi" w:cstheme="majorBidi"/>
        </w:rPr>
        <w:fldChar w:fldCharType="end"/>
      </w:r>
      <w:r w:rsidRPr="000B073B">
        <w:rPr>
          <w:rFonts w:asciiTheme="majorBidi" w:hAnsiTheme="majorBidi" w:cstheme="majorBidi"/>
        </w:rPr>
        <w:t xml:space="preserve"> at 333</w:t>
      </w:r>
      <w:proofErr w:type="gramEnd"/>
      <w:r w:rsidRPr="000B073B">
        <w:rPr>
          <w:rFonts w:asciiTheme="majorBidi" w:hAnsiTheme="majorBidi" w:cstheme="majorBidi"/>
        </w:rPr>
        <w:t xml:space="preserve">. </w:t>
      </w:r>
    </w:p>
  </w:footnote>
  <w:footnote w:id="203">
    <w:p w14:paraId="40F27EF4"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From a retributive </w:t>
      </w:r>
      <w:proofErr w:type="gramStart"/>
      <w:r w:rsidRPr="000B073B">
        <w:rPr>
          <w:rFonts w:asciiTheme="majorBidi" w:hAnsiTheme="majorBidi" w:cstheme="majorBidi"/>
        </w:rPr>
        <w:t>perspective</w:t>
      </w:r>
      <w:proofErr w:type="gramEnd"/>
      <w:r w:rsidRPr="000B073B">
        <w:rPr>
          <w:rFonts w:asciiTheme="majorBidi" w:hAnsiTheme="majorBidi" w:cstheme="majorBidi"/>
        </w:rPr>
        <w:t xml:space="preserve"> the offender’s blameworthiness is a key aspect that punishment rests on. </w:t>
      </w:r>
      <w:r w:rsidRPr="000B073B">
        <w:rPr>
          <w:rFonts w:asciiTheme="majorBidi" w:hAnsiTheme="majorBidi" w:cstheme="majorBidi"/>
          <w:i/>
          <w:iCs/>
        </w:rPr>
        <w:t>See</w:t>
      </w:r>
      <w:r w:rsidRPr="000B073B">
        <w:rPr>
          <w:rFonts w:asciiTheme="majorBidi" w:hAnsiTheme="majorBidi" w:cstheme="majorBidi"/>
        </w:rPr>
        <w:t xml:space="preserve"> Michael Moore, </w:t>
      </w:r>
      <w:r w:rsidRPr="000B073B">
        <w:rPr>
          <w:rFonts w:asciiTheme="majorBidi" w:hAnsiTheme="majorBidi" w:cstheme="majorBidi"/>
          <w:i/>
          <w:iCs/>
        </w:rPr>
        <w:t xml:space="preserve">Intention as a Marker of Moral Culpability and Legal </w:t>
      </w:r>
      <w:proofErr w:type="spellStart"/>
      <w:r w:rsidRPr="000B073B">
        <w:rPr>
          <w:rFonts w:asciiTheme="majorBidi" w:hAnsiTheme="majorBidi" w:cstheme="majorBidi"/>
          <w:i/>
          <w:iCs/>
        </w:rPr>
        <w:t>Punishability</w:t>
      </w:r>
      <w:proofErr w:type="spellEnd"/>
      <w:r w:rsidRPr="000B073B">
        <w:rPr>
          <w:rFonts w:asciiTheme="majorBidi" w:hAnsiTheme="majorBidi" w:cstheme="majorBidi"/>
        </w:rPr>
        <w:t xml:space="preserve">, </w:t>
      </w:r>
      <w:r w:rsidRPr="000B073B">
        <w:rPr>
          <w:rFonts w:asciiTheme="majorBidi" w:hAnsiTheme="majorBidi" w:cstheme="majorBidi"/>
          <w:i/>
          <w:iCs/>
        </w:rPr>
        <w:t>in</w:t>
      </w:r>
      <w:r w:rsidRPr="000B073B">
        <w:rPr>
          <w:rFonts w:asciiTheme="majorBidi" w:hAnsiTheme="majorBidi" w:cstheme="majorBidi"/>
        </w:rPr>
        <w:t xml:space="preserve"> </w:t>
      </w:r>
      <w:r w:rsidRPr="000B073B">
        <w:rPr>
          <w:rFonts w:asciiTheme="majorBidi" w:hAnsiTheme="majorBidi" w:cstheme="majorBidi"/>
          <w:smallCaps/>
        </w:rPr>
        <w:t>Philosophical Foundations of Criminal Law</w:t>
      </w:r>
      <w:r w:rsidRPr="000B073B">
        <w:rPr>
          <w:rFonts w:asciiTheme="majorBidi" w:hAnsiTheme="majorBidi" w:cstheme="majorBidi"/>
        </w:rPr>
        <w:t xml:space="preserve"> 179, 179-181 (R.A. Duff &amp; Stuart Green eds., 2011).</w:t>
      </w:r>
    </w:p>
  </w:footnote>
  <w:footnote w:id="204">
    <w:p w14:paraId="31FD2444" w14:textId="1AB4C844" w:rsidR="0095491D" w:rsidRPr="000B073B" w:rsidRDefault="0095491D" w:rsidP="0033125D">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Posner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_Ref237940607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173</w:t>
      </w:r>
      <w:r w:rsidRPr="000B073B">
        <w:rPr>
          <w:rFonts w:asciiTheme="majorBidi" w:hAnsiTheme="majorBidi" w:cstheme="majorBidi"/>
        </w:rPr>
        <w:fldChar w:fldCharType="end"/>
      </w:r>
      <w:r w:rsidRPr="000B073B">
        <w:rPr>
          <w:rFonts w:asciiTheme="majorBidi" w:hAnsiTheme="majorBidi" w:cstheme="majorBidi"/>
        </w:rPr>
        <w:t xml:space="preserve">, at 1221-23 (analyzing </w:t>
      </w:r>
      <w:proofErr w:type="spellStart"/>
      <w:r w:rsidRPr="000B073B">
        <w:rPr>
          <w:rFonts w:asciiTheme="majorBidi" w:hAnsiTheme="majorBidi" w:cstheme="majorBidi"/>
        </w:rPr>
        <w:t>mens</w:t>
      </w:r>
      <w:proofErr w:type="spellEnd"/>
      <w:r w:rsidRPr="000B073B">
        <w:rPr>
          <w:rFonts w:asciiTheme="majorBidi" w:hAnsiTheme="majorBidi" w:cstheme="majorBidi"/>
        </w:rPr>
        <w:t xml:space="preserve"> rea from an economic perspective).  </w:t>
      </w:r>
    </w:p>
  </w:footnote>
  <w:footnote w:id="205">
    <w:p w14:paraId="5BFCC59B" w14:textId="33F09F2B" w:rsidR="0095491D" w:rsidRDefault="0095491D" w:rsidP="007B1DDB">
      <w:pPr>
        <w:pStyle w:val="FootnoteText"/>
        <w:bidi w:val="0"/>
      </w:pPr>
      <w:r>
        <w:rPr>
          <w:rStyle w:val="FootnoteReference"/>
        </w:rPr>
        <w:footnoteRef/>
      </w:r>
      <w:r>
        <w:rPr>
          <w:rtl/>
        </w:rPr>
        <w:t xml:space="preserve"> </w:t>
      </w:r>
      <w:r>
        <w:t xml:space="preserve"> </w:t>
      </w:r>
      <w:r w:rsidRPr="007B1DDB">
        <w:rPr>
          <w:i/>
          <w:iCs/>
        </w:rPr>
        <w:t>See supra</w:t>
      </w:r>
      <w:r>
        <w:t xml:space="preserve"> notes </w:t>
      </w:r>
      <w:r>
        <w:fldChar w:fldCharType="begin"/>
      </w:r>
      <w:r>
        <w:instrText xml:space="preserve"> NOTEREF _Ref465717379 \h </w:instrText>
      </w:r>
      <w:r>
        <w:fldChar w:fldCharType="separate"/>
      </w:r>
      <w:r>
        <w:t>35</w:t>
      </w:r>
      <w:r>
        <w:fldChar w:fldCharType="end"/>
      </w:r>
      <w:r>
        <w:t>-</w:t>
      </w:r>
      <w:r>
        <w:fldChar w:fldCharType="begin"/>
      </w:r>
      <w:r>
        <w:instrText xml:space="preserve"> NOTEREF _Ref465717383 \h </w:instrText>
      </w:r>
      <w:r>
        <w:fldChar w:fldCharType="separate"/>
      </w:r>
      <w:r>
        <w:t>36</w:t>
      </w:r>
      <w:r>
        <w:fldChar w:fldCharType="end"/>
      </w:r>
      <w:r>
        <w:t xml:space="preserve"> and accompanying text.</w:t>
      </w:r>
    </w:p>
  </w:footnote>
  <w:footnote w:id="206">
    <w:p w14:paraId="3DC934F4" w14:textId="77777777" w:rsidR="0095491D" w:rsidRPr="000B073B" w:rsidRDefault="0095491D" w:rsidP="009D6452">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smallCaps/>
        </w:rPr>
        <w:t>LaFave</w:t>
      </w:r>
      <w:r w:rsidRPr="000B073B">
        <w:rPr>
          <w:rFonts w:asciiTheme="majorBidi" w:hAnsiTheme="majorBidi" w:cstheme="majorBidi"/>
          <w:i/>
          <w:iCs/>
        </w:rPr>
        <w:t xml:space="preserve"> Id</w:t>
      </w:r>
      <w:r w:rsidRPr="000B073B">
        <w:rPr>
          <w:rFonts w:asciiTheme="majorBidi" w:hAnsiTheme="majorBidi" w:cstheme="majorBidi"/>
        </w:rPr>
        <w:t xml:space="preserve">. (noting that “usually, but not always, the statutory-crime-without fault carries a relatively light penalty”). </w:t>
      </w:r>
    </w:p>
  </w:footnote>
  <w:footnote w:id="207">
    <w:p w14:paraId="6B013EF8" w14:textId="77777777" w:rsidR="0095491D" w:rsidRPr="000B073B" w:rsidRDefault="0095491D" w:rsidP="00AC154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Model Penal Code</w:t>
      </w:r>
      <w:r w:rsidRPr="000B073B">
        <w:rPr>
          <w:rFonts w:asciiTheme="majorBidi" w:hAnsiTheme="majorBidi" w:cstheme="majorBidi"/>
        </w:rPr>
        <w:t xml:space="preserve"> § 2.05(2</w:t>
      </w:r>
      <w:proofErr w:type="gramStart"/>
      <w:r w:rsidRPr="000B073B">
        <w:rPr>
          <w:rFonts w:asciiTheme="majorBidi" w:hAnsiTheme="majorBidi" w:cstheme="majorBidi"/>
        </w:rPr>
        <w:t>)(</w:t>
      </w:r>
      <w:proofErr w:type="gramEnd"/>
      <w:r w:rsidRPr="000B073B">
        <w:rPr>
          <w:rFonts w:asciiTheme="majorBidi" w:hAnsiTheme="majorBidi" w:cstheme="majorBidi"/>
        </w:rPr>
        <w:t xml:space="preserve">a) and </w:t>
      </w:r>
      <w:r w:rsidRPr="000B073B">
        <w:rPr>
          <w:rFonts w:asciiTheme="majorBidi" w:hAnsiTheme="majorBidi" w:cstheme="majorBidi"/>
          <w:smallCaps/>
        </w:rPr>
        <w:t>Model Penal Code</w:t>
      </w:r>
      <w:r w:rsidRPr="000B073B">
        <w:rPr>
          <w:rFonts w:asciiTheme="majorBidi" w:hAnsiTheme="majorBidi" w:cstheme="majorBidi"/>
        </w:rPr>
        <w:t xml:space="preserve"> § 1.04(6).</w:t>
      </w:r>
    </w:p>
  </w:footnote>
  <w:footnote w:id="208">
    <w:p w14:paraId="29D99121" w14:textId="04000268" w:rsidR="0095491D" w:rsidRPr="000B073B" w:rsidRDefault="0095491D" w:rsidP="00B81BE1">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 xml:space="preserve">LaFave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_Ref432075494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45</w:t>
      </w:r>
      <w:r w:rsidRPr="000B073B">
        <w:rPr>
          <w:rFonts w:asciiTheme="majorBidi" w:hAnsiTheme="majorBidi" w:cstheme="majorBidi"/>
        </w:rPr>
        <w:fldChar w:fldCharType="end"/>
      </w:r>
      <w:r w:rsidRPr="000B073B">
        <w:rPr>
          <w:rFonts w:asciiTheme="majorBidi" w:hAnsiTheme="majorBidi" w:cstheme="majorBidi"/>
        </w:rPr>
        <w:t xml:space="preserve">, at 384. </w:t>
      </w:r>
    </w:p>
  </w:footnote>
  <w:footnote w:id="209">
    <w:p w14:paraId="1AA15B29" w14:textId="77777777" w:rsidR="0095491D" w:rsidRPr="000B073B" w:rsidRDefault="0095491D" w:rsidP="00261B2B">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21 U.S.C. 333(a) (2016).</w:t>
      </w:r>
    </w:p>
  </w:footnote>
  <w:footnote w:id="210">
    <w:p w14:paraId="3B32E1E7" w14:textId="77777777" w:rsidR="0095491D" w:rsidRPr="000B073B" w:rsidRDefault="0095491D" w:rsidP="00DC3AE5">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Alluding to the famous case Hobs v. Winchester Corp., 2. K. B. 471 (1910).</w:t>
      </w:r>
    </w:p>
  </w:footnote>
  <w:footnote w:id="211">
    <w:p w14:paraId="2A1122A0" w14:textId="77777777" w:rsidR="0095491D" w:rsidRPr="000B073B" w:rsidRDefault="0095491D" w:rsidP="000140C3">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generally</w:t>
      </w:r>
      <w:r w:rsidRPr="000B073B">
        <w:rPr>
          <w:rFonts w:asciiTheme="majorBidi" w:hAnsiTheme="majorBidi" w:cstheme="majorBidi"/>
        </w:rPr>
        <w:t xml:space="preserve"> Laurie L. </w:t>
      </w:r>
      <w:proofErr w:type="spellStart"/>
      <w:r w:rsidRPr="000B073B">
        <w:rPr>
          <w:rFonts w:asciiTheme="majorBidi" w:hAnsiTheme="majorBidi" w:cstheme="majorBidi"/>
        </w:rPr>
        <w:t>Levenson</w:t>
      </w:r>
      <w:proofErr w:type="spellEnd"/>
      <w:r w:rsidRPr="000B073B">
        <w:rPr>
          <w:rFonts w:asciiTheme="majorBidi" w:hAnsiTheme="majorBidi" w:cstheme="majorBidi"/>
        </w:rPr>
        <w:t xml:space="preserve">, </w:t>
      </w:r>
      <w:r w:rsidRPr="000B073B">
        <w:rPr>
          <w:rFonts w:asciiTheme="majorBidi" w:hAnsiTheme="majorBidi" w:cstheme="majorBidi"/>
          <w:i/>
          <w:iCs/>
        </w:rPr>
        <w:t>Good Faith Defenses: Reshaping Strict Liability Crimes</w:t>
      </w:r>
      <w:r w:rsidRPr="000B073B">
        <w:rPr>
          <w:rFonts w:asciiTheme="majorBidi" w:hAnsiTheme="majorBidi" w:cstheme="majorBidi"/>
        </w:rPr>
        <w:t xml:space="preserve">, 78 </w:t>
      </w:r>
      <w:r w:rsidRPr="000B073B">
        <w:rPr>
          <w:rFonts w:asciiTheme="majorBidi" w:hAnsiTheme="majorBidi" w:cstheme="majorBidi"/>
          <w:smallCaps/>
        </w:rPr>
        <w:t>Cornell L. Rev</w:t>
      </w:r>
      <w:r w:rsidRPr="000B073B">
        <w:rPr>
          <w:rFonts w:asciiTheme="majorBidi" w:hAnsiTheme="majorBidi" w:cstheme="majorBidi"/>
        </w:rPr>
        <w:t xml:space="preserve">. 401 (1992). As a practical doctrinal </w:t>
      </w:r>
      <w:proofErr w:type="gramStart"/>
      <w:r w:rsidRPr="000B073B">
        <w:rPr>
          <w:rFonts w:asciiTheme="majorBidi" w:hAnsiTheme="majorBidi" w:cstheme="majorBidi"/>
        </w:rPr>
        <w:t>matter</w:t>
      </w:r>
      <w:proofErr w:type="gramEnd"/>
      <w:r w:rsidRPr="000B073B">
        <w:rPr>
          <w:rFonts w:asciiTheme="majorBidi" w:hAnsiTheme="majorBidi" w:cstheme="majorBidi"/>
        </w:rPr>
        <w:t xml:space="preserve"> this defense could function as an independent defense that is external to the offence, or could be integrated into the definition of strict liability and turning it into a rebuttable presumption of negligence. For an example of the former from English criminal law see Food Safety Act 1990, §21 (Eng.) (creating a due diligence defense). For an example of the latter from Israeli criminal law see Criminal Code (amendment 39) (preamble and general section) </w:t>
      </w:r>
      <w:r w:rsidRPr="000B073B">
        <w:rPr>
          <w:rFonts w:asciiTheme="majorBidi" w:hAnsiTheme="majorBidi" w:cstheme="majorBidi"/>
          <w:rtl/>
        </w:rPr>
        <w:t>5754-1994</w:t>
      </w:r>
      <w:r w:rsidRPr="000B073B">
        <w:rPr>
          <w:rFonts w:asciiTheme="majorBidi" w:hAnsiTheme="majorBidi" w:cstheme="majorBidi"/>
        </w:rPr>
        <w:t xml:space="preserve">, SH No.1481 p.352 §22 (Isr.) (substituting strict liability with “enhanced liability” and determining that liability will not be attached if the defendant “did everything possible to prevent the offense”).     </w:t>
      </w:r>
    </w:p>
  </w:footnote>
  <w:footnote w:id="212">
    <w:p w14:paraId="6E6A2771"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xml:space="preserve">. at 404-05. </w:t>
      </w:r>
      <w:proofErr w:type="gramStart"/>
      <w:r w:rsidRPr="000B073B">
        <w:rPr>
          <w:rFonts w:asciiTheme="majorBidi" w:hAnsiTheme="majorBidi" w:cstheme="majorBidi"/>
        </w:rPr>
        <w:t>There are many doctrinal and procedural questions that stem from the adoption of a good-faith defense,</w:t>
      </w:r>
      <w:proofErr w:type="gramEnd"/>
      <w:r w:rsidRPr="000B073B">
        <w:rPr>
          <w:rFonts w:asciiTheme="majorBidi" w:hAnsiTheme="majorBidi" w:cstheme="majorBidi"/>
        </w:rPr>
        <w:t xml:space="preserve"> and resolving them is beyond the scope of this Article. For a review of the way in which the doctrine </w:t>
      </w:r>
      <w:proofErr w:type="gramStart"/>
      <w:r w:rsidRPr="000B073B">
        <w:rPr>
          <w:rFonts w:asciiTheme="majorBidi" w:hAnsiTheme="majorBidi" w:cstheme="majorBidi"/>
        </w:rPr>
        <w:t>is applied</w:t>
      </w:r>
      <w:proofErr w:type="gramEnd"/>
      <w:r w:rsidRPr="000B073B">
        <w:rPr>
          <w:rFonts w:asciiTheme="majorBidi" w:hAnsiTheme="majorBidi" w:cstheme="majorBidi"/>
        </w:rPr>
        <w:t xml:space="preserve"> in numerous jurisdictions, see </w:t>
      </w:r>
      <w:r w:rsidRPr="000B073B">
        <w:rPr>
          <w:rFonts w:asciiTheme="majorBidi" w:hAnsiTheme="majorBidi" w:cstheme="majorBidi"/>
          <w:i/>
          <w:iCs/>
        </w:rPr>
        <w:t>id</w:t>
      </w:r>
      <w:r w:rsidRPr="000B073B">
        <w:rPr>
          <w:rFonts w:asciiTheme="majorBidi" w:hAnsiTheme="majorBidi" w:cstheme="majorBidi"/>
        </w:rPr>
        <w:t xml:space="preserve">. </w:t>
      </w:r>
      <w:proofErr w:type="gramStart"/>
      <w:r w:rsidRPr="000B073B">
        <w:rPr>
          <w:rFonts w:asciiTheme="majorBidi" w:hAnsiTheme="majorBidi" w:cstheme="majorBidi"/>
        </w:rPr>
        <w:t>at</w:t>
      </w:r>
      <w:proofErr w:type="gramEnd"/>
      <w:r w:rsidRPr="000B073B">
        <w:rPr>
          <w:rFonts w:asciiTheme="majorBidi" w:hAnsiTheme="majorBidi" w:cstheme="majorBidi"/>
        </w:rPr>
        <w:t xml:space="preserve"> 435-49.  </w:t>
      </w:r>
    </w:p>
  </w:footnote>
  <w:footnote w:id="213">
    <w:p w14:paraId="797819A7"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The defense could also be justified on utilitarian grounds since it enables the legal system to avoid wrongful convictions in cases in which doing so does not entail significant costs. </w:t>
      </w:r>
    </w:p>
  </w:footnote>
  <w:footnote w:id="214">
    <w:p w14:paraId="0F7D0266" w14:textId="0F69086E" w:rsidR="0095491D" w:rsidRPr="000B073B" w:rsidRDefault="0095491D" w:rsidP="00B81BE1">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Catherine L. Carpenter, </w:t>
      </w:r>
      <w:r w:rsidRPr="000B073B">
        <w:rPr>
          <w:rFonts w:asciiTheme="majorBidi" w:hAnsiTheme="majorBidi" w:cstheme="majorBidi"/>
          <w:i/>
          <w:iCs/>
        </w:rPr>
        <w:t>The Constitutionality of Strict Liability in Sex Offender Registration Laws</w:t>
      </w:r>
      <w:r w:rsidRPr="000B073B">
        <w:rPr>
          <w:rFonts w:asciiTheme="majorBidi" w:hAnsiTheme="majorBidi" w:cstheme="majorBidi"/>
        </w:rPr>
        <w:t xml:space="preserve">, </w:t>
      </w:r>
      <w:r w:rsidRPr="000B073B">
        <w:rPr>
          <w:rStyle w:val="documentbody"/>
          <w:rFonts w:asciiTheme="majorBidi" w:hAnsiTheme="majorBidi" w:cstheme="majorBidi"/>
        </w:rPr>
        <w:t xml:space="preserve">86 </w:t>
      </w:r>
      <w:r w:rsidRPr="000B073B">
        <w:rPr>
          <w:rFonts w:asciiTheme="majorBidi" w:hAnsiTheme="majorBidi" w:cstheme="majorBidi"/>
          <w:smallCaps/>
        </w:rPr>
        <w:t>B.U. L. Rev</w:t>
      </w:r>
      <w:r w:rsidRPr="000B073B">
        <w:rPr>
          <w:rStyle w:val="documentbody"/>
          <w:rFonts w:asciiTheme="majorBidi" w:hAnsiTheme="majorBidi" w:cstheme="majorBidi"/>
        </w:rPr>
        <w:t>. 295</w:t>
      </w:r>
      <w:r w:rsidRPr="000B073B">
        <w:rPr>
          <w:rFonts w:asciiTheme="majorBidi" w:hAnsiTheme="majorBidi" w:cstheme="majorBidi"/>
        </w:rPr>
        <w:t xml:space="preserve">, 317 (2006) (reviewing the legislative framework in the different states); </w:t>
      </w:r>
      <w:r w:rsidRPr="000B073B">
        <w:rPr>
          <w:rFonts w:asciiTheme="majorBidi" w:hAnsiTheme="majorBidi" w:cstheme="majorBidi"/>
          <w:smallCaps/>
        </w:rPr>
        <w:t>LaFave</w:t>
      </w:r>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_Ref427673960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158</w:t>
      </w:r>
      <w:r w:rsidRPr="000B073B">
        <w:rPr>
          <w:rFonts w:asciiTheme="majorBidi" w:hAnsiTheme="majorBidi" w:cstheme="majorBidi"/>
        </w:rPr>
        <w:fldChar w:fldCharType="end"/>
      </w:r>
      <w:r w:rsidRPr="000B073B">
        <w:rPr>
          <w:rFonts w:asciiTheme="majorBidi" w:hAnsiTheme="majorBidi" w:cstheme="majorBidi"/>
        </w:rPr>
        <w:t>, at 650-51 (same).</w:t>
      </w:r>
    </w:p>
  </w:footnote>
  <w:footnote w:id="215">
    <w:p w14:paraId="49D1B7BB" w14:textId="77777777" w:rsidR="0095491D" w:rsidRPr="000B073B" w:rsidRDefault="0095491D" w:rsidP="00C755C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Carpenter </w:t>
      </w:r>
      <w:r w:rsidRPr="000B073B">
        <w:rPr>
          <w:rFonts w:asciiTheme="majorBidi" w:hAnsiTheme="majorBidi" w:cstheme="majorBidi"/>
          <w:i/>
          <w:iCs/>
        </w:rPr>
        <w:t>id</w:t>
      </w:r>
      <w:r w:rsidRPr="000B073B">
        <w:rPr>
          <w:rFonts w:asciiTheme="majorBidi" w:hAnsiTheme="majorBidi" w:cstheme="majorBidi"/>
        </w:rPr>
        <w:t xml:space="preserve">. </w:t>
      </w:r>
      <w:proofErr w:type="gramStart"/>
      <w:r w:rsidRPr="000B073B">
        <w:rPr>
          <w:rFonts w:asciiTheme="majorBidi" w:hAnsiTheme="majorBidi" w:cstheme="majorBidi"/>
        </w:rPr>
        <w:t>at</w:t>
      </w:r>
      <w:proofErr w:type="gramEnd"/>
      <w:r w:rsidRPr="000B073B">
        <w:rPr>
          <w:rFonts w:asciiTheme="majorBidi" w:hAnsiTheme="majorBidi" w:cstheme="majorBidi"/>
        </w:rPr>
        <w:t xml:space="preserve"> 315-16 (reviewing the stiff penalties associated with statutory rape). </w:t>
      </w:r>
    </w:p>
  </w:footnote>
  <w:footnote w:id="216">
    <w:p w14:paraId="0D824F03" w14:textId="77777777" w:rsidR="0095491D" w:rsidRPr="000B073B" w:rsidRDefault="0095491D" w:rsidP="00E007AD">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These consequences include both the social stigma associated with the status and a strict legal regime that sex offenders are </w:t>
      </w:r>
      <w:proofErr w:type="gramStart"/>
      <w:r w:rsidRPr="000B073B">
        <w:rPr>
          <w:rFonts w:asciiTheme="majorBidi" w:hAnsiTheme="majorBidi" w:cstheme="majorBidi"/>
        </w:rPr>
        <w:t>subject to</w:t>
      </w:r>
      <w:proofErr w:type="gramEnd"/>
      <w:r w:rsidRPr="000B073B">
        <w:rPr>
          <w:rFonts w:asciiTheme="majorBidi" w:hAnsiTheme="majorBidi" w:cstheme="majorBidi"/>
        </w:rPr>
        <w:t xml:space="preserve">. For a review of the </w:t>
      </w:r>
      <w:proofErr w:type="gramStart"/>
      <w:r w:rsidRPr="000B073B">
        <w:rPr>
          <w:rFonts w:asciiTheme="majorBidi" w:hAnsiTheme="majorBidi" w:cstheme="majorBidi"/>
        </w:rPr>
        <w:t>latter</w:t>
      </w:r>
      <w:proofErr w:type="gramEnd"/>
      <w:r w:rsidRPr="000B073B">
        <w:rPr>
          <w:rFonts w:asciiTheme="majorBidi" w:hAnsiTheme="majorBidi" w:cstheme="majorBidi"/>
        </w:rPr>
        <w:t xml:space="preserve"> see </w:t>
      </w:r>
      <w:r w:rsidRPr="000B073B">
        <w:rPr>
          <w:rFonts w:asciiTheme="majorBidi" w:hAnsiTheme="majorBidi" w:cstheme="majorBidi"/>
          <w:i/>
          <w:iCs/>
        </w:rPr>
        <w:t>id</w:t>
      </w:r>
      <w:r w:rsidRPr="000B073B">
        <w:rPr>
          <w:rFonts w:asciiTheme="majorBidi" w:hAnsiTheme="majorBidi" w:cstheme="majorBidi"/>
        </w:rPr>
        <w:t xml:space="preserve">. </w:t>
      </w:r>
      <w:proofErr w:type="gramStart"/>
      <w:r w:rsidRPr="000B073B">
        <w:rPr>
          <w:rFonts w:asciiTheme="majorBidi" w:hAnsiTheme="majorBidi" w:cstheme="majorBidi"/>
        </w:rPr>
        <w:t>at</w:t>
      </w:r>
      <w:proofErr w:type="gramEnd"/>
      <w:r w:rsidRPr="000B073B">
        <w:rPr>
          <w:rFonts w:asciiTheme="majorBidi" w:hAnsiTheme="majorBidi" w:cstheme="majorBidi"/>
        </w:rPr>
        <w:t xml:space="preserve"> 324-38.</w:t>
      </w:r>
    </w:p>
  </w:footnote>
  <w:footnote w:id="217">
    <w:p w14:paraId="5B1DE3E8" w14:textId="77777777" w:rsidR="0095491D" w:rsidRPr="000B073B" w:rsidRDefault="0095491D" w:rsidP="00E007AD">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Model Penal Code</w:t>
      </w:r>
      <w:r w:rsidRPr="000B073B">
        <w:rPr>
          <w:rFonts w:asciiTheme="majorBidi" w:hAnsiTheme="majorBidi" w:cstheme="majorBidi"/>
        </w:rPr>
        <w:t xml:space="preserve"> § 2.02(2</w:t>
      </w:r>
      <w:proofErr w:type="gramStart"/>
      <w:r w:rsidRPr="000B073B">
        <w:rPr>
          <w:rFonts w:asciiTheme="majorBidi" w:hAnsiTheme="majorBidi" w:cstheme="majorBidi"/>
        </w:rPr>
        <w:t>)(</w:t>
      </w:r>
      <w:proofErr w:type="gramEnd"/>
      <w:r w:rsidRPr="000B073B">
        <w:rPr>
          <w:rFonts w:asciiTheme="majorBidi" w:hAnsiTheme="majorBidi" w:cstheme="majorBidi"/>
        </w:rPr>
        <w:t>d).</w:t>
      </w:r>
    </w:p>
  </w:footnote>
  <w:footnote w:id="218">
    <w:p w14:paraId="24BD0F81" w14:textId="77777777" w:rsidR="0095491D" w:rsidRPr="000B073B" w:rsidRDefault="0095491D" w:rsidP="00AB78DE">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sz w:val="20"/>
          <w:szCs w:val="20"/>
        </w:rPr>
        <w:t xml:space="preserve">Reviewing this massive literature is beyond the scope of this Article. For a few recent contributions to the debate see </w:t>
      </w:r>
      <w:r w:rsidRPr="000B073B">
        <w:rPr>
          <w:rFonts w:asciiTheme="majorBidi" w:hAnsiTheme="majorBidi" w:cstheme="majorBidi"/>
          <w:smallCaps/>
          <w:sz w:val="20"/>
          <w:szCs w:val="20"/>
        </w:rPr>
        <w:t>George Sher, Who Knew</w:t>
      </w:r>
      <w:proofErr w:type="gramStart"/>
      <w:r w:rsidRPr="000B073B">
        <w:rPr>
          <w:rFonts w:asciiTheme="majorBidi" w:hAnsiTheme="majorBidi" w:cstheme="majorBidi"/>
          <w:smallCaps/>
          <w:sz w:val="20"/>
          <w:szCs w:val="20"/>
        </w:rPr>
        <w:t>?:</w:t>
      </w:r>
      <w:proofErr w:type="gramEnd"/>
      <w:r w:rsidRPr="000B073B">
        <w:rPr>
          <w:rFonts w:asciiTheme="majorBidi" w:hAnsiTheme="majorBidi" w:cstheme="majorBidi"/>
          <w:smallCaps/>
          <w:sz w:val="20"/>
          <w:szCs w:val="20"/>
        </w:rPr>
        <w:t xml:space="preserve"> Responsibility without Awareness</w:t>
      </w:r>
      <w:r w:rsidRPr="000B073B">
        <w:rPr>
          <w:rFonts w:asciiTheme="majorBidi" w:hAnsiTheme="majorBidi" w:cstheme="majorBidi"/>
          <w:sz w:val="20"/>
          <w:szCs w:val="20"/>
        </w:rPr>
        <w:t xml:space="preserve"> (2009); Joseph Raz, </w:t>
      </w:r>
      <w:r w:rsidRPr="000B073B">
        <w:rPr>
          <w:rFonts w:asciiTheme="majorBidi" w:hAnsiTheme="majorBidi" w:cstheme="majorBidi"/>
          <w:i/>
          <w:iCs/>
          <w:sz w:val="20"/>
          <w:szCs w:val="20"/>
        </w:rPr>
        <w:t>Responsibility and the Negligence Standard</w:t>
      </w:r>
      <w:r w:rsidRPr="000B073B">
        <w:rPr>
          <w:rFonts w:asciiTheme="majorBidi" w:hAnsiTheme="majorBidi" w:cstheme="majorBidi"/>
          <w:sz w:val="20"/>
          <w:szCs w:val="20"/>
        </w:rPr>
        <w:t xml:space="preserve">, 30 </w:t>
      </w:r>
      <w:r w:rsidRPr="000B073B">
        <w:rPr>
          <w:rFonts w:asciiTheme="majorBidi" w:hAnsiTheme="majorBidi" w:cstheme="majorBidi"/>
          <w:smallCaps/>
          <w:sz w:val="20"/>
          <w:szCs w:val="20"/>
        </w:rPr>
        <w:t xml:space="preserve">Oxford J. L. Stud. </w:t>
      </w:r>
      <w:proofErr w:type="gramStart"/>
      <w:r w:rsidRPr="000B073B">
        <w:rPr>
          <w:rFonts w:asciiTheme="majorBidi" w:hAnsiTheme="majorBidi" w:cstheme="majorBidi"/>
          <w:smallCaps/>
          <w:sz w:val="20"/>
          <w:szCs w:val="20"/>
        </w:rPr>
        <w:t>1</w:t>
      </w:r>
      <w:proofErr w:type="gramEnd"/>
      <w:r w:rsidRPr="000B073B">
        <w:rPr>
          <w:rFonts w:asciiTheme="majorBidi" w:hAnsiTheme="majorBidi" w:cstheme="majorBidi"/>
          <w:sz w:val="20"/>
          <w:szCs w:val="20"/>
        </w:rPr>
        <w:t xml:space="preserve"> (2010); Michael S. Moore &amp; Heidi M. Hurd, </w:t>
      </w:r>
      <w:r w:rsidRPr="000B073B">
        <w:rPr>
          <w:rFonts w:asciiTheme="majorBidi" w:hAnsiTheme="majorBidi" w:cstheme="majorBidi"/>
          <w:i/>
          <w:iCs/>
          <w:sz w:val="20"/>
          <w:szCs w:val="20"/>
        </w:rPr>
        <w:t>Punishing the Awkward, the Stupid, the Weak, and the Selfish: The Culpability of Negligence</w:t>
      </w:r>
      <w:r w:rsidRPr="000B073B">
        <w:rPr>
          <w:rFonts w:asciiTheme="majorBidi" w:hAnsiTheme="majorBidi" w:cstheme="majorBidi"/>
          <w:sz w:val="20"/>
          <w:szCs w:val="20"/>
        </w:rPr>
        <w:t xml:space="preserve">, 5 </w:t>
      </w:r>
      <w:r w:rsidRPr="000B073B">
        <w:rPr>
          <w:rFonts w:asciiTheme="majorBidi" w:hAnsiTheme="majorBidi" w:cstheme="majorBidi"/>
          <w:smallCaps/>
          <w:sz w:val="20"/>
          <w:szCs w:val="20"/>
        </w:rPr>
        <w:t>Crim. L. &amp; Phil</w:t>
      </w:r>
      <w:r w:rsidRPr="000B073B">
        <w:rPr>
          <w:rFonts w:asciiTheme="majorBidi" w:hAnsiTheme="majorBidi" w:cstheme="majorBidi"/>
          <w:sz w:val="20"/>
          <w:szCs w:val="20"/>
        </w:rPr>
        <w:t>. 147 (2011).</w:t>
      </w:r>
    </w:p>
  </w:footnote>
  <w:footnote w:id="219">
    <w:p w14:paraId="040881A3" w14:textId="77777777" w:rsidR="0095491D" w:rsidRPr="000B073B" w:rsidRDefault="0095491D" w:rsidP="00247458">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smallCaps/>
        </w:rPr>
        <w:t>Alexander &amp; Kessler Ferzan</w:t>
      </w:r>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_Ref438977096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130</w:t>
      </w:r>
      <w:r w:rsidRPr="000B073B">
        <w:rPr>
          <w:rFonts w:asciiTheme="majorBidi" w:hAnsiTheme="majorBidi" w:cstheme="majorBidi"/>
        </w:rPr>
        <w:fldChar w:fldCharType="end"/>
      </w:r>
      <w:r w:rsidRPr="000B073B">
        <w:rPr>
          <w:rFonts w:asciiTheme="majorBidi" w:hAnsiTheme="majorBidi" w:cstheme="majorBidi"/>
        </w:rPr>
        <w:t>, at 85.</w:t>
      </w:r>
    </w:p>
  </w:footnote>
  <w:footnote w:id="220">
    <w:p w14:paraId="5561FF6A"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e.g</w:t>
      </w:r>
      <w:r w:rsidRPr="000B073B">
        <w:rPr>
          <w:rFonts w:asciiTheme="majorBidi" w:hAnsiTheme="majorBidi" w:cstheme="majorBidi"/>
        </w:rPr>
        <w:t xml:space="preserve">., George P. Fletcher, </w:t>
      </w:r>
      <w:r w:rsidRPr="000B073B">
        <w:rPr>
          <w:rFonts w:asciiTheme="majorBidi" w:hAnsiTheme="majorBidi" w:cstheme="majorBidi"/>
          <w:i/>
          <w:iCs/>
        </w:rPr>
        <w:t>The Fault of Not Knowing</w:t>
      </w:r>
      <w:r w:rsidRPr="000B073B">
        <w:rPr>
          <w:rFonts w:asciiTheme="majorBidi" w:hAnsiTheme="majorBidi" w:cstheme="majorBidi"/>
        </w:rPr>
        <w:t xml:space="preserve">, 3 </w:t>
      </w:r>
      <w:r w:rsidRPr="000B073B">
        <w:rPr>
          <w:rFonts w:asciiTheme="majorBidi" w:hAnsiTheme="majorBidi" w:cstheme="majorBidi"/>
          <w:smallCaps/>
        </w:rPr>
        <w:t>Theo. Inq. L</w:t>
      </w:r>
      <w:r w:rsidRPr="000B073B">
        <w:rPr>
          <w:rFonts w:asciiTheme="majorBidi" w:hAnsiTheme="majorBidi" w:cstheme="majorBidi"/>
        </w:rPr>
        <w:t>. 265, 273 (2002).</w:t>
      </w:r>
    </w:p>
  </w:footnote>
  <w:footnote w:id="221">
    <w:p w14:paraId="2B905E00" w14:textId="77777777" w:rsidR="0095491D" w:rsidRPr="000B073B" w:rsidRDefault="0095491D" w:rsidP="00A06238">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For an exception see </w:t>
      </w:r>
      <w:r w:rsidRPr="000B073B">
        <w:rPr>
          <w:rFonts w:asciiTheme="majorBidi" w:hAnsiTheme="majorBidi" w:cstheme="majorBidi"/>
          <w:smallCaps/>
        </w:rPr>
        <w:t>Hart</w:t>
      </w:r>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_Ref438721996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14</w:t>
      </w:r>
      <w:r w:rsidRPr="000B073B">
        <w:rPr>
          <w:rFonts w:asciiTheme="majorBidi" w:hAnsiTheme="majorBidi" w:cstheme="majorBidi"/>
        </w:rPr>
        <w:fldChar w:fldCharType="end"/>
      </w:r>
      <w:r w:rsidRPr="000B073B">
        <w:rPr>
          <w:rFonts w:asciiTheme="majorBidi" w:hAnsiTheme="majorBidi" w:cstheme="majorBidi"/>
        </w:rPr>
        <w:t xml:space="preserve"> at 33 (</w:t>
      </w:r>
      <w:proofErr w:type="gramStart"/>
      <w:r w:rsidRPr="000B073B">
        <w:rPr>
          <w:rFonts w:asciiTheme="majorBidi" w:hAnsiTheme="majorBidi" w:cstheme="majorBidi"/>
        </w:rPr>
        <w:t>noting that</w:t>
      </w:r>
      <w:proofErr w:type="gramEnd"/>
      <w:r w:rsidRPr="000B073B">
        <w:rPr>
          <w:rFonts w:asciiTheme="majorBidi" w:hAnsiTheme="majorBidi" w:cstheme="majorBidi"/>
        </w:rPr>
        <w:t xml:space="preserve"> “difficulties of proof may cause the legal system to limit its inquiry into the agent’s ‘subjective condition’ by asking what a ‘reasonable man’ would in the circumstances have known or </w:t>
      </w:r>
      <w:proofErr w:type="spellStart"/>
      <w:r w:rsidRPr="000B073B">
        <w:rPr>
          <w:rFonts w:asciiTheme="majorBidi" w:hAnsiTheme="majorBidi" w:cstheme="majorBidi"/>
        </w:rPr>
        <w:t>forseen</w:t>
      </w:r>
      <w:proofErr w:type="spellEnd"/>
      <w:r w:rsidRPr="000B073B">
        <w:rPr>
          <w:rFonts w:asciiTheme="majorBidi" w:hAnsiTheme="majorBidi" w:cstheme="majorBidi"/>
        </w:rPr>
        <w:t xml:space="preserve">”). </w:t>
      </w:r>
    </w:p>
  </w:footnote>
  <w:footnote w:id="222">
    <w:p w14:paraId="5C72ED55" w14:textId="77777777" w:rsidR="0095491D" w:rsidRPr="000B073B" w:rsidRDefault="0095491D" w:rsidP="00247458">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smallCaps/>
        </w:rPr>
        <w:t>Alexander &amp; Kessler Ferzan</w:t>
      </w:r>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_Ref438977096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130</w:t>
      </w:r>
      <w:r w:rsidRPr="000B073B">
        <w:rPr>
          <w:rFonts w:asciiTheme="majorBidi" w:hAnsiTheme="majorBidi" w:cstheme="majorBidi"/>
        </w:rPr>
        <w:fldChar w:fldCharType="end"/>
      </w:r>
      <w:r w:rsidRPr="000B073B">
        <w:rPr>
          <w:rFonts w:asciiTheme="majorBidi" w:hAnsiTheme="majorBidi" w:cstheme="majorBidi"/>
        </w:rPr>
        <w:t xml:space="preserve">, at 77-81. Moore and Hurd analyze a similar hypothetical and reach an opposite conclusion that justifies the punishment of the parent. The focal point of their analysis continues to be the awareness of the parent to the risk created by leaving an unattended child in a bathtub, yet they allow for a conviction since they assume that at a minimum the parent was in fact aware of a “general risk” that is associated with her their behavior. </w:t>
      </w:r>
      <w:r w:rsidRPr="000B073B">
        <w:rPr>
          <w:rFonts w:asciiTheme="majorBidi" w:hAnsiTheme="majorBidi" w:cstheme="majorBidi"/>
          <w:i/>
          <w:iCs/>
        </w:rPr>
        <w:t>See</w:t>
      </w:r>
      <w:r w:rsidRPr="000B073B">
        <w:rPr>
          <w:rFonts w:asciiTheme="majorBidi" w:hAnsiTheme="majorBidi" w:cstheme="majorBidi"/>
        </w:rPr>
        <w:t xml:space="preserve"> Moore &amp; Hurd,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_Ref427675150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205</w:t>
      </w:r>
      <w:r w:rsidRPr="000B073B">
        <w:rPr>
          <w:rFonts w:asciiTheme="majorBidi" w:hAnsiTheme="majorBidi" w:cstheme="majorBidi"/>
        </w:rPr>
        <w:fldChar w:fldCharType="end"/>
      </w:r>
      <w:r w:rsidRPr="000B073B">
        <w:rPr>
          <w:rFonts w:asciiTheme="majorBidi" w:hAnsiTheme="majorBidi" w:cstheme="majorBidi"/>
        </w:rPr>
        <w:t xml:space="preserve">, at 193. </w:t>
      </w:r>
    </w:p>
  </w:footnote>
  <w:footnote w:id="223">
    <w:p w14:paraId="4007ACB9" w14:textId="77777777" w:rsidR="0095491D" w:rsidRPr="000B073B" w:rsidRDefault="0095491D" w:rsidP="00E007AD">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Alexander &amp; Kessler Ferzan, </w:t>
      </w:r>
      <w:r w:rsidRPr="000B073B">
        <w:rPr>
          <w:rFonts w:asciiTheme="majorBidi" w:hAnsiTheme="majorBidi" w:cstheme="majorBidi"/>
          <w:i/>
          <w:iCs/>
        </w:rPr>
        <w:t>id</w:t>
      </w:r>
      <w:r w:rsidRPr="000B073B">
        <w:rPr>
          <w:rFonts w:asciiTheme="majorBidi" w:hAnsiTheme="majorBidi" w:cstheme="majorBidi"/>
        </w:rPr>
        <w:t xml:space="preserve">. </w:t>
      </w:r>
      <w:proofErr w:type="gramStart"/>
      <w:r w:rsidRPr="000B073B">
        <w:rPr>
          <w:rFonts w:asciiTheme="majorBidi" w:hAnsiTheme="majorBidi" w:cstheme="majorBidi"/>
        </w:rPr>
        <w:t>at</w:t>
      </w:r>
      <w:proofErr w:type="gramEnd"/>
      <w:r w:rsidRPr="000B073B">
        <w:rPr>
          <w:rFonts w:asciiTheme="majorBidi" w:hAnsiTheme="majorBidi" w:cstheme="majorBidi"/>
        </w:rPr>
        <w:t xml:space="preserve"> 78 n. 25.</w:t>
      </w:r>
    </w:p>
  </w:footnote>
  <w:footnote w:id="224">
    <w:p w14:paraId="0179FCB1" w14:textId="77777777" w:rsidR="0095491D" w:rsidRPr="000B073B" w:rsidRDefault="0095491D" w:rsidP="00E007AD">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at 80 n. 29.</w:t>
      </w:r>
    </w:p>
  </w:footnote>
  <w:footnote w:id="225">
    <w:p w14:paraId="3FDFD0B7"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xml:space="preserve">. </w:t>
      </w:r>
    </w:p>
  </w:footnote>
  <w:footnote w:id="226">
    <w:p w14:paraId="0856E217" w14:textId="77777777" w:rsidR="0095491D" w:rsidRPr="000B073B" w:rsidRDefault="0095491D" w:rsidP="00E93A4F">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Doctrinally this question could come into play in two ways. First, the law could define rape as a negligence crime by applying an objective standard to the element of consent directly. This is the case, for example, in English criminal law (</w:t>
      </w:r>
      <w:r w:rsidRPr="000B073B">
        <w:rPr>
          <w:rFonts w:asciiTheme="majorBidi" w:hAnsiTheme="majorBidi" w:cstheme="majorBidi"/>
          <w:i/>
          <w:iCs/>
        </w:rPr>
        <w:t>see</w:t>
      </w:r>
      <w:r w:rsidRPr="000B073B">
        <w:rPr>
          <w:rFonts w:asciiTheme="majorBidi" w:hAnsiTheme="majorBidi" w:cstheme="majorBidi"/>
        </w:rPr>
        <w:t xml:space="preserve"> Sexual Offences Act 2003, §1(1</w:t>
      </w:r>
      <w:proofErr w:type="gramStart"/>
      <w:r w:rsidRPr="000B073B">
        <w:rPr>
          <w:rFonts w:asciiTheme="majorBidi" w:hAnsiTheme="majorBidi" w:cstheme="majorBidi"/>
        </w:rPr>
        <w:t>)(</w:t>
      </w:r>
      <w:proofErr w:type="gramEnd"/>
      <w:r w:rsidRPr="000B073B">
        <w:rPr>
          <w:rFonts w:asciiTheme="majorBidi" w:hAnsiTheme="majorBidi" w:cstheme="majorBidi"/>
        </w:rPr>
        <w:t>c) (Eng.)). Second, the law could allow for the use of the mistake of fact defense with respect to knowledge of lack of consent, and allow for the defense only in cases in which the mistake was reasonable. This is the case in some jurisdictions in the United States (</w:t>
      </w:r>
      <w:r w:rsidRPr="000B073B">
        <w:rPr>
          <w:rFonts w:asciiTheme="majorBidi" w:hAnsiTheme="majorBidi" w:cstheme="majorBidi"/>
          <w:i/>
          <w:iCs/>
        </w:rPr>
        <w:t>see</w:t>
      </w:r>
      <w:r w:rsidRPr="000B073B">
        <w:rPr>
          <w:rFonts w:asciiTheme="majorBidi" w:hAnsiTheme="majorBidi" w:cstheme="majorBidi"/>
        </w:rPr>
        <w:t xml:space="preserve"> </w:t>
      </w:r>
      <w:proofErr w:type="spellStart"/>
      <w:r w:rsidRPr="000B073B">
        <w:rPr>
          <w:rFonts w:asciiTheme="majorBidi" w:hAnsiTheme="majorBidi" w:cstheme="majorBidi"/>
          <w:smallCaps/>
        </w:rPr>
        <w:t>Kadish</w:t>
      </w:r>
      <w:proofErr w:type="spellEnd"/>
      <w:r w:rsidRPr="000B073B">
        <w:rPr>
          <w:rFonts w:asciiTheme="majorBidi" w:hAnsiTheme="majorBidi" w:cstheme="majorBidi"/>
          <w:smallCaps/>
        </w:rPr>
        <w:t xml:space="preserve"> et al.</w:t>
      </w:r>
      <w:proofErr w:type="gramStart"/>
      <w:r w:rsidRPr="000B073B">
        <w:rPr>
          <w:rFonts w:asciiTheme="majorBidi" w:hAnsiTheme="majorBidi" w:cstheme="majorBidi"/>
          <w:smallCaps/>
        </w:rPr>
        <w:t>,</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_Ref431896586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6</w:t>
      </w:r>
      <w:r w:rsidRPr="000B073B">
        <w:rPr>
          <w:rFonts w:asciiTheme="majorBidi" w:hAnsiTheme="majorBidi" w:cstheme="majorBidi"/>
        </w:rPr>
        <w:fldChar w:fldCharType="end"/>
      </w:r>
      <w:r w:rsidRPr="000B073B">
        <w:rPr>
          <w:rFonts w:asciiTheme="majorBidi" w:hAnsiTheme="majorBidi" w:cstheme="majorBidi"/>
        </w:rPr>
        <w:t xml:space="preserve">, at 396-7). </w:t>
      </w:r>
      <w:r w:rsidRPr="000B073B">
        <w:rPr>
          <w:rStyle w:val="FootnoteReference"/>
          <w:rFonts w:asciiTheme="majorBidi" w:hAnsiTheme="majorBidi" w:cstheme="majorBidi"/>
        </w:rPr>
        <w:t xml:space="preserve"> </w:t>
      </w:r>
    </w:p>
  </w:footnote>
  <w:footnote w:id="227">
    <w:p w14:paraId="082C30A0" w14:textId="77777777" w:rsidR="0095491D" w:rsidRPr="000B073B" w:rsidRDefault="0095491D" w:rsidP="00C0588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Ian Ayres &amp; Katharine K. Baker, </w:t>
      </w:r>
      <w:r w:rsidRPr="000B073B">
        <w:rPr>
          <w:rFonts w:asciiTheme="majorBidi" w:hAnsiTheme="majorBidi" w:cstheme="majorBidi"/>
          <w:i/>
          <w:iCs/>
        </w:rPr>
        <w:t>A Separate Crime of Reckless Sex</w:t>
      </w:r>
      <w:r w:rsidRPr="000B073B">
        <w:rPr>
          <w:rFonts w:asciiTheme="majorBidi" w:hAnsiTheme="majorBidi" w:cstheme="majorBidi"/>
        </w:rPr>
        <w:t xml:space="preserve">, 72 </w:t>
      </w:r>
      <w:r w:rsidRPr="000B073B">
        <w:rPr>
          <w:rFonts w:asciiTheme="majorBidi" w:hAnsiTheme="majorBidi" w:cstheme="majorBidi"/>
          <w:smallCaps/>
        </w:rPr>
        <w:t>U. Chi. L. Rev</w:t>
      </w:r>
      <w:r w:rsidRPr="000B073B">
        <w:rPr>
          <w:rFonts w:asciiTheme="majorBidi" w:hAnsiTheme="majorBidi" w:cstheme="majorBidi"/>
        </w:rPr>
        <w:t>. 599, 599-601 (2005) (reviewing proof problems in acquaintance-rape cases).</w:t>
      </w:r>
    </w:p>
  </w:footnote>
  <w:footnote w:id="228">
    <w:p w14:paraId="22521A4E" w14:textId="77777777" w:rsidR="0095491D" w:rsidRPr="000B073B" w:rsidRDefault="0095491D" w:rsidP="00E007AD">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Director of Public Prosecutions v Morgan 2 All ER 347, 347 [1975].</w:t>
      </w:r>
    </w:p>
  </w:footnote>
  <w:footnote w:id="229">
    <w:p w14:paraId="42C7F44F"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Toni Pickard, </w:t>
      </w:r>
      <w:r w:rsidRPr="000B073B">
        <w:rPr>
          <w:rFonts w:asciiTheme="majorBidi" w:hAnsiTheme="majorBidi" w:cstheme="majorBidi"/>
          <w:i/>
          <w:iCs/>
        </w:rPr>
        <w:t xml:space="preserve">Culpable Mistakes and Rape: Relating </w:t>
      </w:r>
      <w:proofErr w:type="spellStart"/>
      <w:r w:rsidRPr="000B073B">
        <w:rPr>
          <w:rFonts w:asciiTheme="majorBidi" w:hAnsiTheme="majorBidi" w:cstheme="majorBidi"/>
          <w:i/>
          <w:iCs/>
        </w:rPr>
        <w:t>Mens</w:t>
      </w:r>
      <w:proofErr w:type="spellEnd"/>
      <w:r w:rsidRPr="000B073B">
        <w:rPr>
          <w:rFonts w:asciiTheme="majorBidi" w:hAnsiTheme="majorBidi" w:cstheme="majorBidi"/>
          <w:i/>
          <w:iCs/>
        </w:rPr>
        <w:t xml:space="preserve"> Rea to the Crime</w:t>
      </w:r>
      <w:r w:rsidRPr="000B073B">
        <w:rPr>
          <w:rFonts w:asciiTheme="majorBidi" w:hAnsiTheme="majorBidi" w:cstheme="majorBidi"/>
        </w:rPr>
        <w:t xml:space="preserve">, 30 </w:t>
      </w:r>
      <w:r w:rsidRPr="000B073B">
        <w:rPr>
          <w:rFonts w:asciiTheme="majorBidi" w:hAnsiTheme="majorBidi" w:cstheme="majorBidi"/>
          <w:smallCaps/>
        </w:rPr>
        <w:t>U. Toronto L.J.</w:t>
      </w:r>
      <w:r w:rsidRPr="000B073B">
        <w:rPr>
          <w:rFonts w:asciiTheme="majorBidi" w:hAnsiTheme="majorBidi" w:cstheme="majorBidi"/>
        </w:rPr>
        <w:t xml:space="preserve"> 75, 76-77 (1980). </w:t>
      </w:r>
    </w:p>
  </w:footnote>
  <w:footnote w:id="230">
    <w:p w14:paraId="0BF4499A" w14:textId="77777777" w:rsidR="0095491D" w:rsidRPr="000B073B" w:rsidRDefault="0095491D" w:rsidP="003D147E">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 xml:space="preserve">Id. </w:t>
      </w:r>
      <w:r w:rsidRPr="000B073B">
        <w:rPr>
          <w:rFonts w:asciiTheme="majorBidi" w:hAnsiTheme="majorBidi" w:cstheme="majorBidi"/>
        </w:rPr>
        <w:t xml:space="preserve">at 76-77 (analyzing a factually clear hypothetical rape case). </w:t>
      </w:r>
    </w:p>
  </w:footnote>
  <w:footnote w:id="231">
    <w:p w14:paraId="35B856B0" w14:textId="77777777" w:rsidR="0095491D" w:rsidRPr="000B073B" w:rsidRDefault="0095491D" w:rsidP="00875F42">
      <w:pPr>
        <w:pStyle w:val="FootnoteText"/>
        <w:bidi w:val="0"/>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 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_Ref438980441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213</w:t>
      </w:r>
      <w:r w:rsidRPr="000B073B">
        <w:rPr>
          <w:rFonts w:asciiTheme="majorBidi" w:hAnsiTheme="majorBidi" w:cstheme="majorBidi"/>
        </w:rPr>
        <w:fldChar w:fldCharType="end"/>
      </w:r>
      <w:r w:rsidRPr="000B073B">
        <w:rPr>
          <w:rFonts w:asciiTheme="majorBidi" w:hAnsiTheme="majorBidi" w:cstheme="majorBidi"/>
        </w:rPr>
        <w:t>.</w:t>
      </w:r>
    </w:p>
  </w:footnote>
  <w:footnote w:id="232">
    <w:p w14:paraId="7BE26B2F" w14:textId="77777777" w:rsidR="0095491D" w:rsidRPr="000B073B" w:rsidRDefault="0095491D" w:rsidP="00875F42">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For a proposal to grade rape according to mental states based on considerations of blame and incentives see Susan </w:t>
      </w:r>
      <w:proofErr w:type="spellStart"/>
      <w:r w:rsidRPr="000B073B">
        <w:rPr>
          <w:rFonts w:asciiTheme="majorBidi" w:hAnsiTheme="majorBidi" w:cstheme="majorBidi"/>
        </w:rPr>
        <w:t>Estrich</w:t>
      </w:r>
      <w:proofErr w:type="spellEnd"/>
      <w:r w:rsidRPr="000B073B">
        <w:rPr>
          <w:rFonts w:asciiTheme="majorBidi" w:hAnsiTheme="majorBidi" w:cstheme="majorBidi"/>
        </w:rPr>
        <w:t xml:space="preserve">, </w:t>
      </w:r>
      <w:bookmarkStart w:id="63" w:name="SR;9119"/>
      <w:bookmarkEnd w:id="63"/>
      <w:r w:rsidRPr="000B073B">
        <w:rPr>
          <w:rStyle w:val="searchterm"/>
          <w:rFonts w:asciiTheme="majorBidi" w:hAnsiTheme="majorBidi" w:cstheme="majorBidi"/>
          <w:i/>
          <w:iCs/>
        </w:rPr>
        <w:t>Rape</w:t>
      </w:r>
      <w:r w:rsidRPr="000B073B">
        <w:rPr>
          <w:rStyle w:val="searchterm"/>
          <w:rFonts w:asciiTheme="majorBidi" w:hAnsiTheme="majorBidi" w:cstheme="majorBidi"/>
        </w:rPr>
        <w:t xml:space="preserve">, 95 </w:t>
      </w:r>
      <w:r w:rsidRPr="000B073B">
        <w:rPr>
          <w:rStyle w:val="searchterm"/>
          <w:rFonts w:asciiTheme="majorBidi" w:hAnsiTheme="majorBidi" w:cstheme="majorBidi"/>
          <w:smallCaps/>
        </w:rPr>
        <w:t>Yale L.J</w:t>
      </w:r>
      <w:r w:rsidRPr="000B073B">
        <w:rPr>
          <w:rStyle w:val="searchterm"/>
          <w:rFonts w:asciiTheme="majorBidi" w:hAnsiTheme="majorBidi" w:cstheme="majorBidi"/>
        </w:rPr>
        <w:t>.</w:t>
      </w:r>
      <w:r w:rsidRPr="000B073B">
        <w:rPr>
          <w:rFonts w:asciiTheme="majorBidi" w:hAnsiTheme="majorBidi" w:cstheme="majorBidi"/>
        </w:rPr>
        <w:t xml:space="preserve"> 1087, 1102-1105 (1987).</w:t>
      </w:r>
    </w:p>
  </w:footnote>
  <w:footnote w:id="233">
    <w:p w14:paraId="3836F4B1" w14:textId="77777777" w:rsidR="0095491D" w:rsidRPr="000B073B" w:rsidRDefault="0095491D" w:rsidP="005130C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Model Penal Code</w:t>
      </w:r>
      <w:r w:rsidRPr="000B073B">
        <w:rPr>
          <w:rFonts w:asciiTheme="majorBidi" w:hAnsiTheme="majorBidi" w:cstheme="majorBidi"/>
        </w:rPr>
        <w:t xml:space="preserve"> § 213.1 (incorporating the requirement “a female not his wife” into the definition of rape), thus degrading marital rape to a simple assault (see </w:t>
      </w:r>
      <w:r w:rsidRPr="000B073B">
        <w:rPr>
          <w:rFonts w:asciiTheme="majorBidi" w:hAnsiTheme="majorBidi" w:cstheme="majorBidi"/>
          <w:smallCaps/>
        </w:rPr>
        <w:t>Model Penal Code</w:t>
      </w:r>
      <w:r w:rsidRPr="000B073B">
        <w:rPr>
          <w:rFonts w:asciiTheme="majorBidi" w:hAnsiTheme="majorBidi" w:cstheme="majorBidi"/>
        </w:rPr>
        <w:t xml:space="preserve"> § 211.1). In their study on peoples’ penal intuitions, Robinson and Darley examine the way in which people rank different rape scenarios. Among other things, participants in the study </w:t>
      </w:r>
      <w:proofErr w:type="gramStart"/>
      <w:r w:rsidRPr="000B073B">
        <w:rPr>
          <w:rFonts w:asciiTheme="majorBidi" w:hAnsiTheme="majorBidi" w:cstheme="majorBidi"/>
        </w:rPr>
        <w:t>were asked</w:t>
      </w:r>
      <w:proofErr w:type="gramEnd"/>
      <w:r w:rsidRPr="000B073B">
        <w:rPr>
          <w:rFonts w:asciiTheme="majorBidi" w:hAnsiTheme="majorBidi" w:cstheme="majorBidi"/>
        </w:rPr>
        <w:t xml:space="preserve"> to evaluate numerous rape cases, which included a case of stranger rape and a marital rape case. The results suggest that people ranked stranger rape as worthy of a greater punishment than marital rape. While the study did not ask participants directly on matters of proof, participants evaluated whether the victim in the different scenarios consented (though all scenarios explicitly stated that sex was non-consensual). Interestingly, subjects presumed that consent was present significantly more in the marital case, suggesting that their penal ranking corresponded with their evidentiary assessment of the scenario.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Paul H. Robinson &amp; John M. Darley, Justice, Liability and Blame</w:t>
      </w:r>
      <w:r w:rsidRPr="000B073B">
        <w:rPr>
          <w:rFonts w:asciiTheme="majorBidi" w:hAnsiTheme="majorBidi" w:cstheme="majorBidi"/>
        </w:rPr>
        <w:t xml:space="preserve"> 160-69 (1995).</w:t>
      </w:r>
    </w:p>
  </w:footnote>
  <w:footnote w:id="234">
    <w:p w14:paraId="2F5605A4"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Michael Gary </w:t>
      </w:r>
      <w:proofErr w:type="spellStart"/>
      <w:r w:rsidRPr="000B073B">
        <w:rPr>
          <w:rFonts w:asciiTheme="majorBidi" w:hAnsiTheme="majorBidi" w:cstheme="majorBidi"/>
        </w:rPr>
        <w:t>Hilf</w:t>
      </w:r>
      <w:proofErr w:type="spellEnd"/>
      <w:r w:rsidRPr="000B073B">
        <w:rPr>
          <w:rFonts w:asciiTheme="majorBidi" w:hAnsiTheme="majorBidi" w:cstheme="majorBidi"/>
        </w:rPr>
        <w:t xml:space="preserve">, </w:t>
      </w:r>
      <w:r w:rsidRPr="000B073B">
        <w:rPr>
          <w:rFonts w:asciiTheme="majorBidi" w:hAnsiTheme="majorBidi" w:cstheme="majorBidi"/>
          <w:i/>
          <w:iCs/>
        </w:rPr>
        <w:t xml:space="preserve">Marital Privacy and Spousal Rape, </w:t>
      </w:r>
      <w:r w:rsidRPr="000B073B">
        <w:rPr>
          <w:rFonts w:asciiTheme="majorBidi" w:hAnsiTheme="majorBidi" w:cstheme="majorBidi"/>
        </w:rPr>
        <w:t xml:space="preserve">16 </w:t>
      </w:r>
      <w:r w:rsidRPr="000B073B">
        <w:rPr>
          <w:rFonts w:asciiTheme="majorBidi" w:hAnsiTheme="majorBidi" w:cstheme="majorBidi"/>
          <w:smallCaps/>
        </w:rPr>
        <w:t>New Eng. L. Rev.</w:t>
      </w:r>
      <w:r w:rsidRPr="000B073B">
        <w:rPr>
          <w:rFonts w:asciiTheme="majorBidi" w:hAnsiTheme="majorBidi" w:cstheme="majorBidi"/>
        </w:rPr>
        <w:t xml:space="preserve"> 31, 41 (1980-1981).</w:t>
      </w:r>
    </w:p>
  </w:footnote>
  <w:footnote w:id="235">
    <w:p w14:paraId="1223282B"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For a review of legal reforms in the area see </w:t>
      </w:r>
      <w:r w:rsidRPr="000B073B">
        <w:rPr>
          <w:rFonts w:asciiTheme="majorBidi" w:hAnsiTheme="majorBidi" w:cstheme="majorBidi"/>
          <w:smallCaps/>
        </w:rPr>
        <w:t xml:space="preserve">Cassia </w:t>
      </w:r>
      <w:proofErr w:type="spellStart"/>
      <w:r w:rsidRPr="000B073B">
        <w:rPr>
          <w:rFonts w:asciiTheme="majorBidi" w:hAnsiTheme="majorBidi" w:cstheme="majorBidi"/>
          <w:smallCaps/>
        </w:rPr>
        <w:t>Spohn</w:t>
      </w:r>
      <w:proofErr w:type="spellEnd"/>
      <w:r w:rsidRPr="000B073B">
        <w:rPr>
          <w:rFonts w:asciiTheme="majorBidi" w:hAnsiTheme="majorBidi" w:cstheme="majorBidi"/>
          <w:smallCaps/>
        </w:rPr>
        <w:t xml:space="preserve"> </w:t>
      </w:r>
      <w:r w:rsidRPr="000B073B">
        <w:rPr>
          <w:rFonts w:asciiTheme="majorBidi" w:hAnsiTheme="majorBidi" w:cstheme="majorBidi"/>
          <w:smallCaps/>
          <w:rtl/>
        </w:rPr>
        <w:t>&amp;</w:t>
      </w:r>
      <w:r w:rsidRPr="000B073B">
        <w:rPr>
          <w:rFonts w:asciiTheme="majorBidi" w:hAnsiTheme="majorBidi" w:cstheme="majorBidi"/>
          <w:smallCaps/>
        </w:rPr>
        <w:t xml:space="preserve"> Julie Horney, Rape Law Reform: A Grassroots Revolution and Its Impact</w:t>
      </w:r>
      <w:r w:rsidRPr="000B073B">
        <w:rPr>
          <w:rFonts w:asciiTheme="majorBidi" w:hAnsiTheme="majorBidi" w:cstheme="majorBidi"/>
        </w:rPr>
        <w:t xml:space="preserve"> 17-27 (1992); Stacy </w:t>
      </w:r>
      <w:proofErr w:type="spellStart"/>
      <w:r w:rsidRPr="000B073B">
        <w:rPr>
          <w:rFonts w:asciiTheme="majorBidi" w:hAnsiTheme="majorBidi" w:cstheme="majorBidi"/>
        </w:rPr>
        <w:t>Futter</w:t>
      </w:r>
      <w:proofErr w:type="spellEnd"/>
      <w:r w:rsidRPr="000B073B">
        <w:rPr>
          <w:rFonts w:asciiTheme="majorBidi" w:hAnsiTheme="majorBidi" w:cstheme="majorBidi"/>
        </w:rPr>
        <w:t xml:space="preserve"> &amp; Walter R. Mebane, Jr., </w:t>
      </w:r>
      <w:r w:rsidRPr="000B073B">
        <w:rPr>
          <w:rFonts w:asciiTheme="majorBidi" w:hAnsiTheme="majorBidi" w:cstheme="majorBidi"/>
          <w:i/>
          <w:iCs/>
        </w:rPr>
        <w:t>The Effects of Rape Law Reform on Rape Case Processing</w:t>
      </w:r>
      <w:r w:rsidRPr="000B073B">
        <w:rPr>
          <w:rFonts w:asciiTheme="majorBidi" w:hAnsiTheme="majorBidi" w:cstheme="majorBidi"/>
        </w:rPr>
        <w:t xml:space="preserve">, 16 </w:t>
      </w:r>
      <w:r w:rsidRPr="000B073B">
        <w:rPr>
          <w:rFonts w:asciiTheme="majorBidi" w:hAnsiTheme="majorBidi" w:cstheme="majorBidi"/>
          <w:smallCaps/>
        </w:rPr>
        <w:t>Berkeley Women’s L.J.</w:t>
      </w:r>
      <w:r w:rsidRPr="000B073B">
        <w:rPr>
          <w:rFonts w:asciiTheme="majorBidi" w:hAnsiTheme="majorBidi" w:cstheme="majorBidi"/>
        </w:rPr>
        <w:t xml:space="preserve"> 72, 77-80 (2001).</w:t>
      </w:r>
    </w:p>
  </w:footnote>
  <w:footnote w:id="236">
    <w:p w14:paraId="69C8A6F3" w14:textId="77777777" w:rsidR="0095491D" w:rsidRPr="000B073B" w:rsidRDefault="0095491D" w:rsidP="00247458">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An alternative path legislatures might take is to enact new proxy crimes that include objective elements that correlate with rape. Ayres and Baker, for example, proposed to criminalize the act of having sexual intercourse without a condom in a first-time sexual encounter (Ayres &amp; Baker,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_Ref438764778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214</w:t>
      </w:r>
      <w:r w:rsidRPr="000B073B">
        <w:rPr>
          <w:rFonts w:asciiTheme="majorBidi" w:hAnsiTheme="majorBidi" w:cstheme="majorBidi"/>
        </w:rPr>
        <w:fldChar w:fldCharType="end"/>
      </w:r>
      <w:r w:rsidRPr="000B073B">
        <w:rPr>
          <w:rFonts w:asciiTheme="majorBidi" w:hAnsiTheme="majorBidi" w:cstheme="majorBidi"/>
        </w:rPr>
        <w:t>, at 601). While this proposal aims to achieve numerous goals, it can also help alleviate some of the evidentiary problems associated with acquaintance-rape cases. As Ayres and Baker note, “[r]</w:t>
      </w:r>
      <w:proofErr w:type="spellStart"/>
      <w:r w:rsidRPr="000B073B">
        <w:rPr>
          <w:rFonts w:asciiTheme="majorBidi" w:hAnsiTheme="majorBidi" w:cstheme="majorBidi"/>
        </w:rPr>
        <w:t>easonable</w:t>
      </w:r>
      <w:proofErr w:type="spellEnd"/>
      <w:r w:rsidRPr="000B073B">
        <w:rPr>
          <w:rFonts w:asciiTheme="majorBidi" w:hAnsiTheme="majorBidi" w:cstheme="majorBidi"/>
        </w:rPr>
        <w:t xml:space="preserve"> doubts can remain whether an alleged acquaintance rapist raped, but there is often no question that he engaged in an unprotected first-time sexual encounter. In such a case there could at least be a conviction, albeit for a much less serious offense” (</w:t>
      </w:r>
      <w:r w:rsidRPr="000B073B">
        <w:rPr>
          <w:rFonts w:asciiTheme="majorBidi" w:hAnsiTheme="majorBidi" w:cstheme="majorBidi"/>
          <w:i/>
          <w:iCs/>
        </w:rPr>
        <w:t>id</w:t>
      </w:r>
      <w:r w:rsidRPr="000B073B">
        <w:rPr>
          <w:rFonts w:asciiTheme="majorBidi" w:hAnsiTheme="majorBidi" w:cstheme="majorBidi"/>
        </w:rPr>
        <w:t>. at 603).</w:t>
      </w:r>
    </w:p>
  </w:footnote>
  <w:footnote w:id="237">
    <w:p w14:paraId="51B9B45C" w14:textId="77777777" w:rsidR="0095491D" w:rsidRPr="000B073B" w:rsidRDefault="0095491D" w:rsidP="00051878">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Glanville Williams, Criminal Law: The General Part</w:t>
      </w:r>
      <w:r w:rsidRPr="000B073B">
        <w:rPr>
          <w:rFonts w:asciiTheme="majorBidi" w:hAnsiTheme="majorBidi" w:cstheme="majorBidi"/>
        </w:rPr>
        <w:t xml:space="preserve">, 100-101 (2d ed., 1961). For an early exposition of the thesis that the law should adopt objective liability standards see </w:t>
      </w:r>
      <w:r w:rsidRPr="000B073B">
        <w:rPr>
          <w:rFonts w:asciiTheme="majorBidi" w:hAnsiTheme="majorBidi" w:cstheme="majorBidi"/>
          <w:smallCaps/>
        </w:rPr>
        <w:t>O. W. Holmes, Jr., The Common Law</w:t>
      </w:r>
      <w:r w:rsidRPr="000B073B">
        <w:rPr>
          <w:rFonts w:asciiTheme="majorBidi" w:hAnsiTheme="majorBidi" w:cstheme="majorBidi"/>
        </w:rPr>
        <w:t xml:space="preserve"> 108 (1881). </w:t>
      </w:r>
    </w:p>
  </w:footnote>
  <w:footnote w:id="238">
    <w:p w14:paraId="5C48FF78" w14:textId="77777777" w:rsidR="0095491D" w:rsidRPr="000B073B" w:rsidRDefault="0095491D" w:rsidP="00AB78DE">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Hart,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_Ref438721996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14</w:t>
      </w:r>
      <w:r w:rsidRPr="000B073B">
        <w:rPr>
          <w:rFonts w:asciiTheme="majorBidi" w:hAnsiTheme="majorBidi" w:cstheme="majorBidi"/>
        </w:rPr>
        <w:fldChar w:fldCharType="end"/>
      </w:r>
      <w:r w:rsidRPr="000B073B">
        <w:rPr>
          <w:rFonts w:asciiTheme="majorBidi" w:hAnsiTheme="majorBidi" w:cstheme="majorBidi"/>
        </w:rPr>
        <w:t>, at 153-156.</w:t>
      </w:r>
    </w:p>
  </w:footnote>
  <w:footnote w:id="239">
    <w:p w14:paraId="777D7475"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Model Penal Code</w:t>
      </w:r>
      <w:r w:rsidRPr="000B073B">
        <w:rPr>
          <w:rFonts w:asciiTheme="majorBidi" w:hAnsiTheme="majorBidi" w:cstheme="majorBidi"/>
        </w:rPr>
        <w:t xml:space="preserve"> §2.02 (</w:t>
      </w:r>
      <w:r w:rsidRPr="000B073B">
        <w:rPr>
          <w:rFonts w:asciiTheme="majorBidi" w:hAnsiTheme="majorBidi" w:cstheme="majorBidi"/>
          <w:smallCaps/>
        </w:rPr>
        <w:t>Am Law Inst.,</w:t>
      </w:r>
      <w:r w:rsidRPr="000B073B">
        <w:rPr>
          <w:rFonts w:asciiTheme="majorBidi" w:hAnsiTheme="majorBidi" w:cstheme="majorBidi"/>
        </w:rPr>
        <w:t xml:space="preserve"> Official Draft and Explanatory Notes 1985) (when determining what is reasonable the factfinder should consider “the nature and purpose [of the defendant’s] conduct and the circumstances known to him”).</w:t>
      </w:r>
    </w:p>
  </w:footnote>
  <w:footnote w:id="240">
    <w:p w14:paraId="22E9B2DA"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e.g.</w:t>
      </w:r>
      <w:r w:rsidRPr="000B073B">
        <w:rPr>
          <w:rFonts w:asciiTheme="majorBidi" w:hAnsiTheme="majorBidi" w:cstheme="majorBidi"/>
        </w:rPr>
        <w:t xml:space="preserve">, State v. Everhart, 291 N.C. 700 (1977) (low IQ reason to find the defendant not negligent); State v. Patterson, 131 Conn. App. 65 (2011) (defendant found negligent despite low IQ). </w:t>
      </w:r>
    </w:p>
  </w:footnote>
  <w:footnote w:id="241">
    <w:p w14:paraId="7A7F22E5"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smallCaps/>
        </w:rPr>
        <w:t>Paul H. Robinson, Intuitions of Justice and the Utility of Desert</w:t>
      </w:r>
      <w:r w:rsidRPr="000B073B">
        <w:rPr>
          <w:rFonts w:asciiTheme="majorBidi" w:hAnsiTheme="majorBidi" w:cstheme="majorBidi"/>
        </w:rPr>
        <w:t xml:space="preserve"> 327-335 (2013).</w:t>
      </w:r>
    </w:p>
  </w:footnote>
  <w:footnote w:id="242">
    <w:p w14:paraId="7A6A92E4"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at 335.</w:t>
      </w:r>
    </w:p>
  </w:footnote>
  <w:footnote w:id="243">
    <w:p w14:paraId="65921DA7"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xml:space="preserve">. </w:t>
      </w:r>
    </w:p>
  </w:footnote>
  <w:footnote w:id="244">
    <w:p w14:paraId="31886E01" w14:textId="77777777" w:rsidR="0095491D" w:rsidRPr="000B073B" w:rsidRDefault="0095491D" w:rsidP="00B4589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Andrew Ashworth &amp; Lucia </w:t>
      </w:r>
      <w:proofErr w:type="spellStart"/>
      <w:r w:rsidRPr="000B073B">
        <w:rPr>
          <w:rFonts w:asciiTheme="majorBidi" w:hAnsiTheme="majorBidi" w:cstheme="majorBidi"/>
        </w:rPr>
        <w:t>Zender</w:t>
      </w:r>
      <w:proofErr w:type="spellEnd"/>
      <w:r w:rsidRPr="000B073B">
        <w:rPr>
          <w:rFonts w:asciiTheme="majorBidi" w:hAnsiTheme="majorBidi" w:cstheme="majorBidi"/>
        </w:rPr>
        <w:t xml:space="preserve">, </w:t>
      </w:r>
      <w:r w:rsidRPr="000B073B">
        <w:rPr>
          <w:rFonts w:asciiTheme="majorBidi" w:hAnsiTheme="majorBidi" w:cstheme="majorBidi"/>
          <w:i/>
          <w:iCs/>
        </w:rPr>
        <w:t>Just Prevention: Preventive Rationales and the Limits of Criminal Law</w:t>
      </w:r>
      <w:r w:rsidRPr="000B073B">
        <w:rPr>
          <w:rFonts w:asciiTheme="majorBidi" w:hAnsiTheme="majorBidi" w:cstheme="majorBidi"/>
        </w:rPr>
        <w:t xml:space="preserve">, </w:t>
      </w:r>
      <w:r w:rsidRPr="000B073B">
        <w:rPr>
          <w:rFonts w:asciiTheme="majorBidi" w:hAnsiTheme="majorBidi" w:cstheme="majorBidi"/>
          <w:i/>
          <w:iCs/>
        </w:rPr>
        <w:t>in</w:t>
      </w:r>
      <w:r w:rsidRPr="000B073B">
        <w:rPr>
          <w:rFonts w:asciiTheme="majorBidi" w:hAnsiTheme="majorBidi" w:cstheme="majorBidi"/>
        </w:rPr>
        <w:t xml:space="preserve"> </w:t>
      </w:r>
      <w:r w:rsidRPr="000B073B">
        <w:rPr>
          <w:rFonts w:asciiTheme="majorBidi" w:hAnsiTheme="majorBidi" w:cstheme="majorBidi"/>
          <w:smallCaps/>
        </w:rPr>
        <w:t>Philosophical Foundations of Criminal Law</w:t>
      </w:r>
      <w:r w:rsidRPr="000B073B">
        <w:rPr>
          <w:rFonts w:asciiTheme="majorBidi" w:hAnsiTheme="majorBidi" w:cstheme="majorBidi"/>
        </w:rPr>
        <w:t xml:space="preserve"> 279, 285 (R.A. Duff &amp; Stuart Green eds., 2011) (alluding to the prohibitions created by Terrorism Act 2006 (UK)).</w:t>
      </w:r>
    </w:p>
  </w:footnote>
  <w:footnote w:id="245">
    <w:p w14:paraId="59F0EA23" w14:textId="77777777" w:rsidR="0095491D" w:rsidRPr="000B073B" w:rsidRDefault="0095491D" w:rsidP="007D45F6">
      <w:pPr>
        <w:pStyle w:val="HTMLPreformatted"/>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Compare </w:t>
      </w:r>
      <w:r w:rsidRPr="000B073B">
        <w:rPr>
          <w:rFonts w:asciiTheme="majorBidi" w:hAnsiTheme="majorBidi" w:cstheme="majorBidi"/>
          <w:smallCaps/>
        </w:rPr>
        <w:t>Cal. Penal Code</w:t>
      </w:r>
      <w:r w:rsidRPr="000B073B">
        <w:rPr>
          <w:rFonts w:asciiTheme="majorBidi" w:hAnsiTheme="majorBidi" w:cstheme="majorBidi"/>
        </w:rPr>
        <w:t xml:space="preserve"> §18710 (Deering 2016) (possession with no specific intent) with </w:t>
      </w:r>
      <w:r w:rsidRPr="000B073B">
        <w:rPr>
          <w:rFonts w:asciiTheme="majorBidi" w:hAnsiTheme="majorBidi" w:cstheme="majorBidi"/>
          <w:smallCaps/>
        </w:rPr>
        <w:t>Cal. Penal Code</w:t>
      </w:r>
      <w:r w:rsidRPr="000B073B">
        <w:rPr>
          <w:rFonts w:asciiTheme="majorBidi" w:hAnsiTheme="majorBidi" w:cstheme="majorBidi"/>
        </w:rPr>
        <w:t xml:space="preserve"> §18740 (Deering 2016) (possession with intent to injure, intimidate, or terrify any person). </w:t>
      </w:r>
    </w:p>
  </w:footnote>
  <w:footnote w:id="246">
    <w:p w14:paraId="0A532F63"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Jeffrey S. Parker, </w:t>
      </w:r>
      <w:r w:rsidRPr="000B073B">
        <w:rPr>
          <w:rFonts w:asciiTheme="majorBidi" w:hAnsiTheme="majorBidi" w:cstheme="majorBidi"/>
          <w:i/>
          <w:iCs/>
        </w:rPr>
        <w:t xml:space="preserve">The Economics of </w:t>
      </w:r>
      <w:proofErr w:type="spellStart"/>
      <w:r w:rsidRPr="000B073B">
        <w:rPr>
          <w:rFonts w:asciiTheme="majorBidi" w:hAnsiTheme="majorBidi" w:cstheme="majorBidi"/>
          <w:i/>
          <w:iCs/>
        </w:rPr>
        <w:t>Mens</w:t>
      </w:r>
      <w:proofErr w:type="spellEnd"/>
      <w:r w:rsidRPr="000B073B">
        <w:rPr>
          <w:rFonts w:asciiTheme="majorBidi" w:hAnsiTheme="majorBidi" w:cstheme="majorBidi"/>
          <w:i/>
          <w:iCs/>
        </w:rPr>
        <w:t xml:space="preserve"> Rea</w:t>
      </w:r>
      <w:r w:rsidRPr="000B073B">
        <w:rPr>
          <w:rFonts w:asciiTheme="majorBidi" w:hAnsiTheme="majorBidi" w:cstheme="majorBidi"/>
        </w:rPr>
        <w:t xml:space="preserve">, 79 </w:t>
      </w:r>
      <w:r w:rsidRPr="000B073B">
        <w:rPr>
          <w:rFonts w:asciiTheme="majorBidi" w:hAnsiTheme="majorBidi" w:cstheme="majorBidi"/>
          <w:smallCaps/>
        </w:rPr>
        <w:t>Va. L. Rev</w:t>
      </w:r>
      <w:r w:rsidRPr="000B073B">
        <w:rPr>
          <w:rFonts w:asciiTheme="majorBidi" w:hAnsiTheme="majorBidi" w:cstheme="majorBidi"/>
        </w:rPr>
        <w:t>. 741, 744-45 (1993).</w:t>
      </w:r>
    </w:p>
  </w:footnote>
  <w:footnote w:id="247">
    <w:p w14:paraId="344DA74E" w14:textId="4B7523B9" w:rsidR="0095491D" w:rsidRPr="000B073B" w:rsidRDefault="0095491D" w:rsidP="005130CB">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 supra</w:t>
      </w:r>
      <w:r w:rsidRPr="000B073B">
        <w:rPr>
          <w:rFonts w:asciiTheme="majorBidi" w:hAnsiTheme="majorBidi" w:cstheme="majorBidi"/>
        </w:rPr>
        <w:t xml:space="preserve"> notes </w:t>
      </w:r>
      <w:r w:rsidRPr="000B073B">
        <w:rPr>
          <w:rFonts w:asciiTheme="majorBidi" w:hAnsiTheme="majorBidi" w:cstheme="majorBidi"/>
        </w:rPr>
        <w:fldChar w:fldCharType="begin"/>
      </w:r>
      <w:r w:rsidRPr="000B073B">
        <w:rPr>
          <w:rFonts w:asciiTheme="majorBidi" w:hAnsiTheme="majorBidi" w:cstheme="majorBidi"/>
        </w:rPr>
        <w:instrText xml:space="preserve"> NOTEREF _Ref427535143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189</w:t>
      </w:r>
      <w:r w:rsidRPr="000B073B">
        <w:rPr>
          <w:rFonts w:asciiTheme="majorBidi" w:hAnsiTheme="majorBidi" w:cstheme="majorBidi"/>
        </w:rPr>
        <w:fldChar w:fldCharType="end"/>
      </w:r>
      <w:r w:rsidRPr="000B073B">
        <w:rPr>
          <w:rFonts w:asciiTheme="majorBidi" w:hAnsiTheme="majorBidi" w:cstheme="majorBidi"/>
        </w:rPr>
        <w:t>-</w:t>
      </w:r>
      <w:r w:rsidRPr="000B073B">
        <w:rPr>
          <w:rFonts w:asciiTheme="majorBidi" w:hAnsiTheme="majorBidi" w:cstheme="majorBidi"/>
        </w:rPr>
        <w:fldChar w:fldCharType="begin"/>
      </w:r>
      <w:r w:rsidRPr="000B073B">
        <w:rPr>
          <w:rFonts w:asciiTheme="majorBidi" w:hAnsiTheme="majorBidi" w:cstheme="majorBidi"/>
        </w:rPr>
        <w:instrText xml:space="preserve"> NOTEREF _Ref427535153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190</w:t>
      </w:r>
      <w:r w:rsidRPr="000B073B">
        <w:rPr>
          <w:rFonts w:asciiTheme="majorBidi" w:hAnsiTheme="majorBidi" w:cstheme="majorBidi"/>
        </w:rPr>
        <w:fldChar w:fldCharType="end"/>
      </w:r>
      <w:r w:rsidRPr="000B073B">
        <w:rPr>
          <w:rFonts w:asciiTheme="majorBidi" w:hAnsiTheme="majorBidi" w:cstheme="majorBidi"/>
        </w:rPr>
        <w:t xml:space="preserve"> and accompanying text.</w:t>
      </w:r>
    </w:p>
  </w:footnote>
  <w:footnote w:id="248">
    <w:p w14:paraId="221839F9" w14:textId="77777777" w:rsidR="0095491D" w:rsidRPr="000B073B" w:rsidRDefault="0095491D" w:rsidP="009F224E">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49 </w:t>
      </w:r>
      <w:r w:rsidRPr="000B073B">
        <w:rPr>
          <w:rFonts w:asciiTheme="majorBidi" w:hAnsiTheme="majorBidi" w:cstheme="majorBidi"/>
          <w:smallCaps/>
        </w:rPr>
        <w:t>U.S.C.</w:t>
      </w:r>
      <w:r w:rsidRPr="000B073B">
        <w:rPr>
          <w:rFonts w:asciiTheme="majorBidi" w:hAnsiTheme="majorBidi" w:cstheme="majorBidi"/>
        </w:rPr>
        <w:t xml:space="preserve"> § 46505(b) (2016) (criminalizing the carrying of a weapon on an aircraft and setting a maximal sentence of ten years). The required </w:t>
      </w:r>
      <w:proofErr w:type="spellStart"/>
      <w:r w:rsidRPr="000B073B">
        <w:rPr>
          <w:rFonts w:asciiTheme="majorBidi" w:hAnsiTheme="majorBidi" w:cstheme="majorBidi"/>
        </w:rPr>
        <w:t>mens</w:t>
      </w:r>
      <w:proofErr w:type="spellEnd"/>
      <w:r w:rsidRPr="000B073B">
        <w:rPr>
          <w:rFonts w:asciiTheme="majorBidi" w:hAnsiTheme="majorBidi" w:cstheme="majorBidi"/>
        </w:rPr>
        <w:t xml:space="preserve"> rea for this crime is negligence (defendant should have known he was carrying a weapon), and the checkpoint scenario was found to constitute an attempt to commit it (see </w:t>
      </w:r>
      <w:r w:rsidRPr="000B073B">
        <w:rPr>
          <w:rStyle w:val="groupheading"/>
          <w:rFonts w:asciiTheme="majorBidi" w:hAnsiTheme="majorBidi" w:cstheme="majorBidi"/>
        </w:rPr>
        <w:t xml:space="preserve">U.S. v. Garrett, </w:t>
      </w:r>
      <w:r w:rsidRPr="000B073B">
        <w:rPr>
          <w:rStyle w:val="informationalsmall"/>
          <w:rFonts w:asciiTheme="majorBidi" w:hAnsiTheme="majorBidi" w:cstheme="majorBidi"/>
        </w:rPr>
        <w:t>984 F.2d 1402, 1412 (</w:t>
      </w:r>
      <w:proofErr w:type="gramStart"/>
      <w:r w:rsidRPr="000B073B">
        <w:rPr>
          <w:rStyle w:val="informationalsmall"/>
          <w:rFonts w:asciiTheme="majorBidi" w:hAnsiTheme="majorBidi" w:cstheme="majorBidi"/>
        </w:rPr>
        <w:t>5th</w:t>
      </w:r>
      <w:proofErr w:type="gramEnd"/>
      <w:r w:rsidRPr="000B073B">
        <w:rPr>
          <w:rStyle w:val="informationalsmall"/>
          <w:rFonts w:asciiTheme="majorBidi" w:hAnsiTheme="majorBidi" w:cstheme="majorBidi"/>
        </w:rPr>
        <w:t xml:space="preserve"> Cir. 1993)).</w:t>
      </w:r>
    </w:p>
  </w:footnote>
  <w:footnote w:id="249">
    <w:p w14:paraId="1674C8BF" w14:textId="77777777" w:rsidR="0095491D" w:rsidRPr="000B073B" w:rsidRDefault="0095491D" w:rsidP="00C755C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49 </w:t>
      </w:r>
      <w:r w:rsidRPr="000B073B">
        <w:rPr>
          <w:rFonts w:asciiTheme="majorBidi" w:hAnsiTheme="majorBidi" w:cstheme="majorBidi"/>
          <w:smallCaps/>
        </w:rPr>
        <w:t>U.S.C</w:t>
      </w:r>
      <w:r w:rsidRPr="000B073B">
        <w:rPr>
          <w:rFonts w:asciiTheme="majorBidi" w:hAnsiTheme="majorBidi" w:cstheme="majorBidi"/>
        </w:rPr>
        <w:t xml:space="preserve"> § 46502 (2016) (criminalizing aircraft piracy and setting a minimum sentence of twenty years)</w:t>
      </w:r>
      <w:r w:rsidRPr="000B073B">
        <w:rPr>
          <w:rStyle w:val="informationalsmall"/>
          <w:rFonts w:asciiTheme="majorBidi" w:hAnsiTheme="majorBidi" w:cstheme="majorBidi"/>
        </w:rPr>
        <w:t>.</w:t>
      </w:r>
    </w:p>
  </w:footnote>
  <w:footnote w:id="250">
    <w:p w14:paraId="1945FF36"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On the constitutional limitations regarding the burden of proof see </w:t>
      </w:r>
      <w:r w:rsidRPr="000B073B">
        <w:rPr>
          <w:rFonts w:asciiTheme="majorBidi" w:hAnsiTheme="majorBidi" w:cstheme="majorBidi"/>
          <w:i/>
          <w:iCs/>
        </w:rPr>
        <w:t>supra</w:t>
      </w:r>
      <w:r w:rsidRPr="000B073B">
        <w:rPr>
          <w:rFonts w:asciiTheme="majorBidi" w:hAnsiTheme="majorBidi" w:cstheme="majorBidi"/>
        </w:rPr>
        <w:t xml:space="preserve"> notes </w:t>
      </w:r>
      <w:r w:rsidRPr="000B073B">
        <w:rPr>
          <w:rFonts w:asciiTheme="majorBidi" w:hAnsiTheme="majorBidi" w:cstheme="majorBidi"/>
        </w:rPr>
        <w:fldChar w:fldCharType="begin"/>
      </w:r>
      <w:r w:rsidRPr="000B073B">
        <w:rPr>
          <w:rFonts w:asciiTheme="majorBidi" w:hAnsiTheme="majorBidi" w:cstheme="majorBidi"/>
        </w:rPr>
        <w:instrText xml:space="preserve"> NOTEREF _Ref428271186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42</w:t>
      </w:r>
      <w:r w:rsidRPr="000B073B">
        <w:rPr>
          <w:rFonts w:asciiTheme="majorBidi" w:hAnsiTheme="majorBidi" w:cstheme="majorBidi"/>
        </w:rPr>
        <w:fldChar w:fldCharType="end"/>
      </w:r>
      <w:r w:rsidRPr="000B073B">
        <w:rPr>
          <w:rFonts w:asciiTheme="majorBidi" w:hAnsiTheme="majorBidi" w:cstheme="majorBidi"/>
        </w:rPr>
        <w:t>-</w:t>
      </w:r>
      <w:r w:rsidRPr="000B073B">
        <w:rPr>
          <w:rFonts w:asciiTheme="majorBidi" w:hAnsiTheme="majorBidi" w:cstheme="majorBidi"/>
        </w:rPr>
        <w:fldChar w:fldCharType="begin"/>
      </w:r>
      <w:r w:rsidRPr="000B073B">
        <w:rPr>
          <w:rFonts w:asciiTheme="majorBidi" w:hAnsiTheme="majorBidi" w:cstheme="majorBidi"/>
        </w:rPr>
        <w:instrText xml:space="preserve"> NOTEREF _Ref432075494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45</w:t>
      </w:r>
      <w:r w:rsidRPr="000B073B">
        <w:rPr>
          <w:rFonts w:asciiTheme="majorBidi" w:hAnsiTheme="majorBidi" w:cstheme="majorBidi"/>
        </w:rPr>
        <w:fldChar w:fldCharType="end"/>
      </w:r>
      <w:r w:rsidRPr="000B073B">
        <w:rPr>
          <w:rFonts w:asciiTheme="majorBidi" w:hAnsiTheme="majorBidi" w:cstheme="majorBidi"/>
        </w:rPr>
        <w:t xml:space="preserve"> and accompanying text.</w:t>
      </w:r>
    </w:p>
  </w:footnote>
  <w:footnote w:id="251">
    <w:p w14:paraId="2D5C7A75"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r w:rsidRPr="000B073B">
        <w:rPr>
          <w:rFonts w:asciiTheme="majorBidi" w:hAnsiTheme="majorBidi" w:cstheme="majorBidi"/>
          <w:i/>
          <w:iCs/>
        </w:rPr>
        <w:t>Exodus</w:t>
      </w:r>
      <w:r w:rsidRPr="000B073B">
        <w:rPr>
          <w:rFonts w:asciiTheme="majorBidi" w:hAnsiTheme="majorBidi" w:cstheme="majorBidi"/>
        </w:rPr>
        <w:t xml:space="preserve"> 23:7. </w:t>
      </w:r>
    </w:p>
  </w:footnote>
  <w:footnote w:id="252">
    <w:p w14:paraId="4FD2AB0D" w14:textId="77777777" w:rsidR="0095491D" w:rsidRPr="000B073B" w:rsidRDefault="0095491D" w:rsidP="00501A28">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State v. Baldwin, 1813 WL, *8 (S.C. Const. Ct. App. 1813)</w:t>
      </w:r>
    </w:p>
  </w:footnote>
  <w:footnote w:id="253">
    <w:p w14:paraId="5FF8F5AD" w14:textId="77777777" w:rsidR="0095491D" w:rsidRPr="000B073B" w:rsidRDefault="0095491D" w:rsidP="00371ADF">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In Re</w:t>
      </w:r>
      <w:r w:rsidRPr="000B073B">
        <w:rPr>
          <w:rFonts w:asciiTheme="majorBidi" w:hAnsiTheme="majorBidi" w:cstheme="majorBidi"/>
        </w:rPr>
        <w:t xml:space="preserve"> </w:t>
      </w:r>
      <w:proofErr w:type="spellStart"/>
      <w:r w:rsidRPr="000B073B">
        <w:rPr>
          <w:rFonts w:asciiTheme="majorBidi" w:hAnsiTheme="majorBidi" w:cstheme="majorBidi"/>
        </w:rPr>
        <w:t>Winship</w:t>
      </w:r>
      <w:proofErr w:type="spellEnd"/>
      <w:r w:rsidRPr="000B073B">
        <w:rPr>
          <w:rFonts w:asciiTheme="majorBidi" w:hAnsiTheme="majorBidi" w:cstheme="majorBidi"/>
        </w:rPr>
        <w:t>, 397 U.S. 358, 363.</w:t>
      </w:r>
    </w:p>
  </w:footnote>
  <w:footnote w:id="254">
    <w:p w14:paraId="6CF5D386" w14:textId="77777777" w:rsidR="0095491D" w:rsidRPr="000B073B" w:rsidRDefault="0095491D" w:rsidP="00B85A39">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Epps,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_Ref432025602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54</w:t>
      </w:r>
      <w:r w:rsidRPr="000B073B">
        <w:rPr>
          <w:rFonts w:asciiTheme="majorBidi" w:hAnsiTheme="majorBidi" w:cstheme="majorBidi"/>
        </w:rPr>
        <w:fldChar w:fldCharType="end"/>
      </w:r>
      <w:r w:rsidRPr="000B073B">
        <w:rPr>
          <w:rFonts w:asciiTheme="majorBidi" w:hAnsiTheme="majorBidi" w:cstheme="majorBidi"/>
        </w:rPr>
        <w:t>, at 1081.</w:t>
      </w:r>
    </w:p>
  </w:footnote>
  <w:footnote w:id="255">
    <w:p w14:paraId="2DC0A82D" w14:textId="77777777" w:rsidR="0095491D" w:rsidRPr="000B073B" w:rsidRDefault="0095491D" w:rsidP="00CA13DC">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 e.g</w:t>
      </w:r>
      <w:r w:rsidRPr="000B073B">
        <w:rPr>
          <w:rFonts w:asciiTheme="majorBidi" w:hAnsiTheme="majorBidi" w:cstheme="majorBidi"/>
        </w:rPr>
        <w:t xml:space="preserve">., Peter Tillers &amp; Jonathan Gottfried, </w:t>
      </w:r>
      <w:r w:rsidRPr="000B073B">
        <w:rPr>
          <w:rFonts w:asciiTheme="majorBidi" w:hAnsiTheme="majorBidi" w:cstheme="majorBidi"/>
          <w:i/>
          <w:iCs/>
        </w:rPr>
        <w:t>Case Comment—United States v. Copeland, 369 F. Supp. 2d 275 (E.D.N.Y. 2005): A Collateral Attack on the Legal Maxim That Proof Beyond A Reasonable Doubt Is Unquantifiable</w:t>
      </w:r>
      <w:proofErr w:type="gramStart"/>
      <w:r w:rsidRPr="000B073B">
        <w:rPr>
          <w:rFonts w:asciiTheme="majorBidi" w:hAnsiTheme="majorBidi" w:cstheme="majorBidi"/>
          <w:i/>
          <w:iCs/>
        </w:rPr>
        <w:t>?</w:t>
      </w:r>
      <w:r w:rsidRPr="000B073B">
        <w:rPr>
          <w:rFonts w:asciiTheme="majorBidi" w:hAnsiTheme="majorBidi" w:cstheme="majorBidi"/>
        </w:rPr>
        <w:t>,</w:t>
      </w:r>
      <w:proofErr w:type="gramEnd"/>
      <w:r w:rsidRPr="000B073B">
        <w:rPr>
          <w:rFonts w:asciiTheme="majorBidi" w:hAnsiTheme="majorBidi" w:cstheme="majorBidi"/>
        </w:rPr>
        <w:t xml:space="preserve"> 5 </w:t>
      </w:r>
      <w:r w:rsidRPr="000B073B">
        <w:rPr>
          <w:rFonts w:asciiTheme="majorBidi" w:hAnsiTheme="majorBidi" w:cstheme="majorBidi"/>
          <w:smallCaps/>
        </w:rPr>
        <w:t>L. Prob. &amp; Risk</w:t>
      </w:r>
      <w:r w:rsidRPr="000B073B">
        <w:rPr>
          <w:rFonts w:asciiTheme="majorBidi" w:hAnsiTheme="majorBidi" w:cstheme="majorBidi"/>
        </w:rPr>
        <w:t xml:space="preserve"> 135, 135-8 (2006) (reviewing judicial hostility towards quantification of the burden). </w:t>
      </w:r>
    </w:p>
  </w:footnote>
  <w:footnote w:id="256">
    <w:p w14:paraId="5300A0C9"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McCullough v. State 657 P.2d 1157, 1159 (Nev. 1983). </w:t>
      </w:r>
    </w:p>
  </w:footnote>
  <w:footnote w:id="257">
    <w:p w14:paraId="5A252213" w14:textId="67E86026" w:rsidR="0095491D" w:rsidRPr="000B073B" w:rsidRDefault="0095491D" w:rsidP="00501A28">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bookmarkStart w:id="66" w:name="SR_12059"/>
      <w:bookmarkEnd w:id="66"/>
      <w:r w:rsidRPr="000B073B">
        <w:rPr>
          <w:rFonts w:asciiTheme="majorBidi" w:hAnsiTheme="majorBidi" w:cstheme="majorBidi"/>
        </w:rPr>
        <w:t xml:space="preserve">Simon &amp; </w:t>
      </w:r>
      <w:bookmarkStart w:id="67" w:name="SR_12061"/>
      <w:bookmarkEnd w:id="67"/>
      <w:r w:rsidRPr="000B073B">
        <w:rPr>
          <w:rFonts w:asciiTheme="majorBidi" w:hAnsiTheme="majorBidi" w:cstheme="majorBidi"/>
        </w:rPr>
        <w:t xml:space="preserve">Mahan,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_Ref441407563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40</w:t>
      </w:r>
      <w:r w:rsidRPr="000B073B">
        <w:rPr>
          <w:rFonts w:asciiTheme="majorBidi" w:hAnsiTheme="majorBidi" w:cstheme="majorBidi"/>
        </w:rPr>
        <w:fldChar w:fldCharType="end"/>
      </w:r>
      <w:r w:rsidRPr="000B073B">
        <w:rPr>
          <w:rFonts w:asciiTheme="majorBidi" w:hAnsiTheme="majorBidi" w:cstheme="majorBidi"/>
        </w:rPr>
        <w:t xml:space="preserve"> at 329.</w:t>
      </w:r>
    </w:p>
  </w:footnote>
  <w:footnote w:id="258">
    <w:p w14:paraId="5D9911AF"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e.g</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xml:space="preserve">. </w:t>
      </w:r>
      <w:proofErr w:type="gramStart"/>
      <w:r w:rsidRPr="000B073B">
        <w:rPr>
          <w:rFonts w:asciiTheme="majorBidi" w:hAnsiTheme="majorBidi" w:cstheme="majorBidi"/>
        </w:rPr>
        <w:t>at</w:t>
      </w:r>
      <w:proofErr w:type="gramEnd"/>
      <w:r w:rsidRPr="000B073B">
        <w:rPr>
          <w:rFonts w:asciiTheme="majorBidi" w:hAnsiTheme="majorBidi" w:cstheme="majorBidi"/>
        </w:rPr>
        <w:t xml:space="preserve"> 329-30; Dorothy K. </w:t>
      </w:r>
      <w:proofErr w:type="spellStart"/>
      <w:r w:rsidRPr="000B073B">
        <w:rPr>
          <w:rFonts w:asciiTheme="majorBidi" w:hAnsiTheme="majorBidi" w:cstheme="majorBidi"/>
        </w:rPr>
        <w:t>Kagehiro</w:t>
      </w:r>
      <w:proofErr w:type="spellEnd"/>
      <w:r w:rsidRPr="000B073B">
        <w:rPr>
          <w:rFonts w:asciiTheme="majorBidi" w:hAnsiTheme="majorBidi" w:cstheme="majorBidi"/>
        </w:rPr>
        <w:t xml:space="preserve">, </w:t>
      </w:r>
      <w:r w:rsidRPr="000B073B">
        <w:rPr>
          <w:rFonts w:asciiTheme="majorBidi" w:hAnsiTheme="majorBidi" w:cstheme="majorBidi"/>
          <w:i/>
          <w:iCs/>
        </w:rPr>
        <w:t>Defining the Standard of Proof in Jury Instructions</w:t>
      </w:r>
      <w:r w:rsidRPr="000B073B">
        <w:rPr>
          <w:rFonts w:asciiTheme="majorBidi" w:hAnsiTheme="majorBidi" w:cstheme="majorBidi"/>
        </w:rPr>
        <w:t xml:space="preserve">, 1 </w:t>
      </w:r>
      <w:r w:rsidRPr="000B073B">
        <w:rPr>
          <w:rFonts w:asciiTheme="majorBidi" w:hAnsiTheme="majorBidi" w:cstheme="majorBidi"/>
          <w:smallCaps/>
        </w:rPr>
        <w:t>Psych. Science</w:t>
      </w:r>
      <w:r w:rsidRPr="000B073B">
        <w:rPr>
          <w:rFonts w:asciiTheme="majorBidi" w:hAnsiTheme="majorBidi" w:cstheme="majorBidi"/>
        </w:rPr>
        <w:t xml:space="preserve"> 194, 196 (1990). </w:t>
      </w:r>
    </w:p>
  </w:footnote>
  <w:footnote w:id="259">
    <w:p w14:paraId="54485E29" w14:textId="77777777" w:rsidR="0095491D" w:rsidRPr="000B073B" w:rsidRDefault="0095491D" w:rsidP="00C755C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For notable contributions to this literature see Jonathan Baron &amp; Mark </w:t>
      </w:r>
      <w:proofErr w:type="spellStart"/>
      <w:r w:rsidRPr="000B073B">
        <w:rPr>
          <w:rFonts w:asciiTheme="majorBidi" w:hAnsiTheme="majorBidi" w:cstheme="majorBidi"/>
        </w:rPr>
        <w:t>Spranca</w:t>
      </w:r>
      <w:proofErr w:type="spellEnd"/>
      <w:r w:rsidRPr="000B073B">
        <w:rPr>
          <w:rFonts w:asciiTheme="majorBidi" w:hAnsiTheme="majorBidi" w:cstheme="majorBidi"/>
        </w:rPr>
        <w:t xml:space="preserve">, </w:t>
      </w:r>
      <w:r w:rsidRPr="000B073B">
        <w:rPr>
          <w:rFonts w:asciiTheme="majorBidi" w:hAnsiTheme="majorBidi" w:cstheme="majorBidi"/>
          <w:i/>
          <w:iCs/>
        </w:rPr>
        <w:t>Protected Values</w:t>
      </w:r>
      <w:r w:rsidRPr="000B073B">
        <w:rPr>
          <w:rFonts w:asciiTheme="majorBidi" w:hAnsiTheme="majorBidi" w:cstheme="majorBidi"/>
        </w:rPr>
        <w:t xml:space="preserve">, 70 </w:t>
      </w:r>
      <w:r w:rsidRPr="000B073B">
        <w:rPr>
          <w:rFonts w:asciiTheme="majorBidi" w:hAnsiTheme="majorBidi" w:cstheme="majorBidi"/>
          <w:smallCaps/>
        </w:rPr>
        <w:t>Org</w:t>
      </w:r>
      <w:r w:rsidRPr="000B073B">
        <w:rPr>
          <w:rFonts w:asciiTheme="majorBidi" w:hAnsiTheme="majorBidi" w:cstheme="majorBidi"/>
        </w:rPr>
        <w:t xml:space="preserve">. </w:t>
      </w:r>
      <w:proofErr w:type="spellStart"/>
      <w:r w:rsidRPr="000B073B">
        <w:rPr>
          <w:rFonts w:asciiTheme="majorBidi" w:hAnsiTheme="majorBidi" w:cstheme="majorBidi"/>
          <w:smallCaps/>
        </w:rPr>
        <w:t>Behav</w:t>
      </w:r>
      <w:proofErr w:type="spellEnd"/>
      <w:r w:rsidRPr="000B073B">
        <w:rPr>
          <w:rFonts w:asciiTheme="majorBidi" w:hAnsiTheme="majorBidi" w:cstheme="majorBidi"/>
          <w:smallCaps/>
        </w:rPr>
        <w:t>. &amp; Hum. Decision Processes</w:t>
      </w:r>
      <w:r w:rsidRPr="000B073B">
        <w:rPr>
          <w:rFonts w:asciiTheme="majorBidi" w:hAnsiTheme="majorBidi" w:cstheme="majorBidi"/>
        </w:rPr>
        <w:t xml:space="preserve"> 1 (1997); Philip E. </w:t>
      </w:r>
      <w:proofErr w:type="spellStart"/>
      <w:r w:rsidRPr="000B073B">
        <w:rPr>
          <w:rFonts w:asciiTheme="majorBidi" w:hAnsiTheme="majorBidi" w:cstheme="majorBidi"/>
        </w:rPr>
        <w:t>Tetlock</w:t>
      </w:r>
      <w:proofErr w:type="spellEnd"/>
      <w:r w:rsidRPr="000B073B">
        <w:rPr>
          <w:rFonts w:asciiTheme="majorBidi" w:hAnsiTheme="majorBidi" w:cstheme="majorBidi"/>
        </w:rPr>
        <w:t xml:space="preserve"> et al., </w:t>
      </w:r>
      <w:r w:rsidRPr="000B073B">
        <w:rPr>
          <w:rFonts w:asciiTheme="majorBidi" w:hAnsiTheme="majorBidi" w:cstheme="majorBidi"/>
          <w:i/>
          <w:iCs/>
        </w:rPr>
        <w:t xml:space="preserve">Proscribed Forms of Social Cognition: Taboo Trade-offs, </w:t>
      </w:r>
      <w:proofErr w:type="spellStart"/>
      <w:r w:rsidRPr="000B073B">
        <w:rPr>
          <w:rFonts w:asciiTheme="majorBidi" w:hAnsiTheme="majorBidi" w:cstheme="majorBidi"/>
          <w:i/>
          <w:iCs/>
        </w:rPr>
        <w:t>Bloacked</w:t>
      </w:r>
      <w:proofErr w:type="spellEnd"/>
      <w:r w:rsidRPr="000B073B">
        <w:rPr>
          <w:rFonts w:asciiTheme="majorBidi" w:hAnsiTheme="majorBidi" w:cstheme="majorBidi"/>
          <w:i/>
          <w:iCs/>
        </w:rPr>
        <w:t xml:space="preserve"> Exchanges, Forbidden Base Rates, and Heretical Counterfactuals</w:t>
      </w:r>
      <w:r w:rsidRPr="000B073B">
        <w:rPr>
          <w:rFonts w:asciiTheme="majorBidi" w:hAnsiTheme="majorBidi" w:cstheme="majorBidi"/>
        </w:rPr>
        <w:t xml:space="preserve">, </w:t>
      </w:r>
      <w:r w:rsidRPr="000B073B">
        <w:rPr>
          <w:rFonts w:asciiTheme="majorBidi" w:hAnsiTheme="majorBidi" w:cstheme="majorBidi"/>
          <w:i/>
          <w:iCs/>
        </w:rPr>
        <w:t>in</w:t>
      </w:r>
      <w:r w:rsidRPr="000B073B">
        <w:rPr>
          <w:rFonts w:asciiTheme="majorBidi" w:hAnsiTheme="majorBidi" w:cstheme="majorBidi"/>
        </w:rPr>
        <w:t xml:space="preserve"> </w:t>
      </w:r>
      <w:r w:rsidRPr="000B073B">
        <w:rPr>
          <w:rFonts w:asciiTheme="majorBidi" w:hAnsiTheme="majorBidi" w:cstheme="majorBidi"/>
          <w:smallCaps/>
        </w:rPr>
        <w:t>Relational Models Theory: A Contemporary Overview</w:t>
      </w:r>
      <w:r w:rsidRPr="000B073B">
        <w:rPr>
          <w:rFonts w:asciiTheme="majorBidi" w:hAnsiTheme="majorBidi" w:cstheme="majorBidi"/>
        </w:rPr>
        <w:t xml:space="preserve"> 247 (Nick Haslam ed., 2004). For a recent review of the findings see Michael R. </w:t>
      </w:r>
      <w:proofErr w:type="spellStart"/>
      <w:r w:rsidRPr="000B073B">
        <w:rPr>
          <w:rFonts w:asciiTheme="majorBidi" w:hAnsiTheme="majorBidi" w:cstheme="majorBidi"/>
        </w:rPr>
        <w:t>Waldmann</w:t>
      </w:r>
      <w:proofErr w:type="spellEnd"/>
      <w:r w:rsidRPr="000B073B">
        <w:rPr>
          <w:rFonts w:asciiTheme="majorBidi" w:hAnsiTheme="majorBidi" w:cstheme="majorBidi"/>
        </w:rPr>
        <w:t xml:space="preserve"> et al., </w:t>
      </w:r>
      <w:r w:rsidRPr="000B073B">
        <w:rPr>
          <w:rFonts w:asciiTheme="majorBidi" w:hAnsiTheme="majorBidi" w:cstheme="majorBidi"/>
          <w:i/>
          <w:iCs/>
        </w:rPr>
        <w:t>Moral Judgments</w:t>
      </w:r>
      <w:r w:rsidRPr="000B073B">
        <w:rPr>
          <w:rFonts w:asciiTheme="majorBidi" w:hAnsiTheme="majorBidi" w:cstheme="majorBidi"/>
        </w:rPr>
        <w:t xml:space="preserve">, </w:t>
      </w:r>
      <w:r w:rsidRPr="000B073B">
        <w:rPr>
          <w:rFonts w:asciiTheme="majorBidi" w:hAnsiTheme="majorBidi" w:cstheme="majorBidi"/>
          <w:i/>
          <w:iCs/>
        </w:rPr>
        <w:t>in</w:t>
      </w:r>
      <w:r w:rsidRPr="000B073B">
        <w:rPr>
          <w:rFonts w:asciiTheme="majorBidi" w:hAnsiTheme="majorBidi" w:cstheme="majorBidi"/>
        </w:rPr>
        <w:t xml:space="preserve"> </w:t>
      </w:r>
      <w:r w:rsidRPr="000B073B">
        <w:rPr>
          <w:rFonts w:asciiTheme="majorBidi" w:hAnsiTheme="majorBidi" w:cstheme="majorBidi"/>
          <w:smallCaps/>
        </w:rPr>
        <w:t>The Oxford Handbook of Thinking and Reasoning 364, 382-84 (</w:t>
      </w:r>
      <w:r w:rsidRPr="000B073B">
        <w:rPr>
          <w:rFonts w:asciiTheme="majorBidi" w:hAnsiTheme="majorBidi" w:cstheme="majorBidi"/>
        </w:rPr>
        <w:t xml:space="preserve">Keith J. </w:t>
      </w:r>
      <w:proofErr w:type="spellStart"/>
      <w:r w:rsidRPr="000B073B">
        <w:rPr>
          <w:rFonts w:asciiTheme="majorBidi" w:hAnsiTheme="majorBidi" w:cstheme="majorBidi"/>
        </w:rPr>
        <w:t>Holyoak</w:t>
      </w:r>
      <w:proofErr w:type="spellEnd"/>
      <w:r w:rsidRPr="000B073B">
        <w:rPr>
          <w:rFonts w:asciiTheme="majorBidi" w:hAnsiTheme="majorBidi" w:cstheme="majorBidi"/>
        </w:rPr>
        <w:t xml:space="preserve"> &amp; Robert G. Morrison eds., 2012). </w:t>
      </w:r>
    </w:p>
  </w:footnote>
  <w:footnote w:id="260">
    <w:p w14:paraId="775120D6" w14:textId="58BD79E1" w:rsidR="0095491D" w:rsidRPr="000B073B" w:rsidRDefault="0095491D" w:rsidP="0089223E">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proofErr w:type="gramStart"/>
      <w:r w:rsidRPr="000B073B">
        <w:rPr>
          <w:rFonts w:asciiTheme="majorBidi" w:hAnsiTheme="majorBidi" w:cstheme="majorBidi"/>
        </w:rPr>
        <w:t>Baron &amp;</w:t>
      </w:r>
      <w:proofErr w:type="gramEnd"/>
      <w:r w:rsidRPr="000B073B">
        <w:rPr>
          <w:rFonts w:asciiTheme="majorBidi" w:hAnsiTheme="majorBidi" w:cstheme="majorBidi"/>
        </w:rPr>
        <w:t xml:space="preserve"> </w:t>
      </w:r>
      <w:proofErr w:type="spellStart"/>
      <w:r w:rsidRPr="000B073B">
        <w:rPr>
          <w:rFonts w:asciiTheme="majorBidi" w:hAnsiTheme="majorBidi" w:cstheme="majorBidi"/>
        </w:rPr>
        <w:t>Spranca</w:t>
      </w:r>
      <w:proofErr w:type="spellEnd"/>
      <w:r w:rsidRPr="000B073B">
        <w:rPr>
          <w:rFonts w:asciiTheme="majorBidi" w:hAnsiTheme="majorBidi" w:cstheme="majorBidi"/>
        </w:rPr>
        <w:t xml:space="preserve">, </w:t>
      </w:r>
      <w:r w:rsidRPr="000B073B">
        <w:rPr>
          <w:rFonts w:asciiTheme="majorBidi" w:hAnsiTheme="majorBidi" w:cstheme="majorBidi"/>
          <w:i/>
          <w:iCs/>
        </w:rPr>
        <w:t xml:space="preserve">supra </w:t>
      </w:r>
      <w:r w:rsidRPr="000B073B">
        <w:rPr>
          <w:rFonts w:asciiTheme="majorBidi" w:hAnsiTheme="majorBidi" w:cstheme="majorBidi"/>
        </w:rPr>
        <w:t xml:space="preserve">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_Ref432506696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246</w:t>
      </w:r>
      <w:r w:rsidRPr="000B073B">
        <w:rPr>
          <w:rFonts w:asciiTheme="majorBidi" w:hAnsiTheme="majorBidi" w:cstheme="majorBidi"/>
        </w:rPr>
        <w:fldChar w:fldCharType="end"/>
      </w:r>
      <w:r w:rsidRPr="000B073B">
        <w:rPr>
          <w:rFonts w:asciiTheme="majorBidi" w:hAnsiTheme="majorBidi" w:cstheme="majorBidi"/>
        </w:rPr>
        <w:t xml:space="preserve"> at 3.</w:t>
      </w:r>
    </w:p>
  </w:footnote>
  <w:footnote w:id="261">
    <w:p w14:paraId="7E6598B1"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xml:space="preserve">. at </w:t>
      </w:r>
      <w:proofErr w:type="gramStart"/>
      <w:r w:rsidRPr="000B073B">
        <w:rPr>
          <w:rFonts w:asciiTheme="majorBidi" w:hAnsiTheme="majorBidi" w:cstheme="majorBidi"/>
        </w:rPr>
        <w:t>5</w:t>
      </w:r>
      <w:proofErr w:type="gramEnd"/>
      <w:r w:rsidRPr="000B073B">
        <w:rPr>
          <w:rFonts w:asciiTheme="majorBidi" w:hAnsiTheme="majorBidi" w:cstheme="majorBidi"/>
        </w:rPr>
        <w:t>.</w:t>
      </w:r>
    </w:p>
  </w:footnote>
  <w:footnote w:id="262">
    <w:p w14:paraId="1A9FAE52" w14:textId="77777777" w:rsidR="0095491D" w:rsidRPr="000B073B" w:rsidRDefault="0095491D" w:rsidP="00501A28">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Daniel M. Bartels &amp; Douglas L. </w:t>
      </w:r>
      <w:proofErr w:type="spellStart"/>
      <w:r w:rsidRPr="000B073B">
        <w:rPr>
          <w:rFonts w:asciiTheme="majorBidi" w:hAnsiTheme="majorBidi" w:cstheme="majorBidi"/>
        </w:rPr>
        <w:t>Medin</w:t>
      </w:r>
      <w:proofErr w:type="spellEnd"/>
      <w:r w:rsidRPr="000B073B">
        <w:rPr>
          <w:rFonts w:asciiTheme="majorBidi" w:hAnsiTheme="majorBidi" w:cstheme="majorBidi"/>
        </w:rPr>
        <w:t xml:space="preserve">, </w:t>
      </w:r>
      <w:r w:rsidRPr="000B073B">
        <w:rPr>
          <w:rFonts w:asciiTheme="majorBidi" w:hAnsiTheme="majorBidi" w:cstheme="majorBidi"/>
          <w:i/>
          <w:iCs/>
        </w:rPr>
        <w:t>Are Morally Motivated Decision Makers Insensitive to the Consequences of Their Choices</w:t>
      </w:r>
      <w:proofErr w:type="gramStart"/>
      <w:r w:rsidRPr="000B073B">
        <w:rPr>
          <w:rFonts w:asciiTheme="majorBidi" w:hAnsiTheme="majorBidi" w:cstheme="majorBidi"/>
          <w:i/>
          <w:iCs/>
        </w:rPr>
        <w:t>?</w:t>
      </w:r>
      <w:r w:rsidRPr="000B073B">
        <w:rPr>
          <w:rFonts w:asciiTheme="majorBidi" w:hAnsiTheme="majorBidi" w:cstheme="majorBidi"/>
        </w:rPr>
        <w:t>,</w:t>
      </w:r>
      <w:proofErr w:type="gramEnd"/>
      <w:r w:rsidRPr="000B073B">
        <w:rPr>
          <w:rFonts w:asciiTheme="majorBidi" w:hAnsiTheme="majorBidi" w:cstheme="majorBidi"/>
        </w:rPr>
        <w:t xml:space="preserve"> 18 </w:t>
      </w:r>
      <w:r w:rsidRPr="000B073B">
        <w:rPr>
          <w:rFonts w:asciiTheme="majorBidi" w:hAnsiTheme="majorBidi" w:cstheme="majorBidi"/>
          <w:smallCaps/>
        </w:rPr>
        <w:t>Psych. Science</w:t>
      </w:r>
      <w:r w:rsidRPr="000B073B">
        <w:rPr>
          <w:rFonts w:asciiTheme="majorBidi" w:hAnsiTheme="majorBidi" w:cstheme="majorBidi"/>
        </w:rPr>
        <w:t xml:space="preserve"> 24, 24 (2007) (noting that “by definition, PVs [protected values] are associated with trade-off avoidance”).</w:t>
      </w:r>
    </w:p>
  </w:footnote>
  <w:footnote w:id="263">
    <w:p w14:paraId="7AEF488B"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proofErr w:type="gramStart"/>
      <w:r w:rsidRPr="000B073B">
        <w:rPr>
          <w:rFonts w:asciiTheme="majorBidi" w:hAnsiTheme="majorBidi" w:cstheme="majorBidi"/>
        </w:rPr>
        <w:t>Baron &amp;</w:t>
      </w:r>
      <w:proofErr w:type="gramEnd"/>
      <w:r w:rsidRPr="000B073B">
        <w:rPr>
          <w:rFonts w:asciiTheme="majorBidi" w:hAnsiTheme="majorBidi" w:cstheme="majorBidi"/>
        </w:rPr>
        <w:t xml:space="preserve"> </w:t>
      </w:r>
      <w:proofErr w:type="spellStart"/>
      <w:r w:rsidRPr="000B073B">
        <w:rPr>
          <w:rFonts w:asciiTheme="majorBidi" w:hAnsiTheme="majorBidi" w:cstheme="majorBidi"/>
        </w:rPr>
        <w:t>Spranca</w:t>
      </w:r>
      <w:proofErr w:type="spellEnd"/>
      <w:r w:rsidRPr="000B073B">
        <w:rPr>
          <w:rFonts w:asciiTheme="majorBidi" w:hAnsiTheme="majorBidi" w:cstheme="majorBidi"/>
        </w:rPr>
        <w:t xml:space="preserve">, </w:t>
      </w:r>
      <w:r w:rsidRPr="000B073B">
        <w:rPr>
          <w:rFonts w:asciiTheme="majorBidi" w:hAnsiTheme="majorBidi" w:cstheme="majorBidi"/>
          <w:i/>
          <w:iCs/>
        </w:rPr>
        <w:t xml:space="preserve">supra </w:t>
      </w:r>
      <w:r w:rsidRPr="000B073B">
        <w:rPr>
          <w:rFonts w:asciiTheme="majorBidi" w:hAnsiTheme="majorBidi" w:cstheme="majorBidi"/>
        </w:rPr>
        <w:t xml:space="preserve">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_Ref432506696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246</w:t>
      </w:r>
      <w:r w:rsidRPr="000B073B">
        <w:rPr>
          <w:rFonts w:asciiTheme="majorBidi" w:hAnsiTheme="majorBidi" w:cstheme="majorBidi"/>
        </w:rPr>
        <w:fldChar w:fldCharType="end"/>
      </w:r>
      <w:r w:rsidRPr="000B073B">
        <w:rPr>
          <w:rFonts w:asciiTheme="majorBidi" w:hAnsiTheme="majorBidi" w:cstheme="majorBidi"/>
        </w:rPr>
        <w:t>, at 14.</w:t>
      </w:r>
    </w:p>
  </w:footnote>
  <w:footnote w:id="264">
    <w:p w14:paraId="48BEE4A5" w14:textId="77777777" w:rsidR="0095491D" w:rsidRPr="000B073B" w:rsidRDefault="0095491D" w:rsidP="00C755CA">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proofErr w:type="spellStart"/>
      <w:r w:rsidRPr="000B073B">
        <w:rPr>
          <w:rFonts w:asciiTheme="majorBidi" w:hAnsiTheme="majorBidi" w:cstheme="majorBidi"/>
        </w:rPr>
        <w:t>Waldmann</w:t>
      </w:r>
      <w:proofErr w:type="spellEnd"/>
      <w:r w:rsidRPr="000B073B">
        <w:rPr>
          <w:rFonts w:asciiTheme="majorBidi" w:hAnsiTheme="majorBidi" w:cstheme="majorBidi"/>
        </w:rPr>
        <w:t xml:space="preserve"> et al., </w:t>
      </w:r>
      <w:r w:rsidRPr="000B073B">
        <w:rPr>
          <w:rFonts w:asciiTheme="majorBidi" w:hAnsiTheme="majorBidi" w:cstheme="majorBidi"/>
          <w:i/>
          <w:iCs/>
        </w:rPr>
        <w:t xml:space="preserve">supra </w:t>
      </w:r>
      <w:r w:rsidRPr="000B073B">
        <w:rPr>
          <w:rFonts w:asciiTheme="majorBidi" w:hAnsiTheme="majorBidi" w:cstheme="majorBidi"/>
        </w:rPr>
        <w:t xml:space="preserve">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_Ref432506696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246</w:t>
      </w:r>
      <w:r w:rsidRPr="000B073B">
        <w:rPr>
          <w:rFonts w:asciiTheme="majorBidi" w:hAnsiTheme="majorBidi" w:cstheme="majorBidi"/>
        </w:rPr>
        <w:fldChar w:fldCharType="end"/>
      </w:r>
      <w:r w:rsidRPr="000B073B">
        <w:rPr>
          <w:rFonts w:asciiTheme="majorBidi" w:hAnsiTheme="majorBidi" w:cstheme="majorBidi"/>
        </w:rPr>
        <w:t>, at 383.</w:t>
      </w:r>
    </w:p>
  </w:footnote>
  <w:footnote w:id="265">
    <w:p w14:paraId="5E567A5C"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xml:space="preserve">. </w:t>
      </w:r>
    </w:p>
  </w:footnote>
  <w:footnote w:id="266">
    <w:p w14:paraId="36A11542" w14:textId="77777777" w:rsidR="0095491D" w:rsidRPr="000B073B" w:rsidRDefault="0095491D" w:rsidP="00444939">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Philip E. </w:t>
      </w:r>
      <w:proofErr w:type="spellStart"/>
      <w:r w:rsidRPr="000B073B">
        <w:rPr>
          <w:rFonts w:asciiTheme="majorBidi" w:hAnsiTheme="majorBidi" w:cstheme="majorBidi"/>
        </w:rPr>
        <w:t>Tetlock</w:t>
      </w:r>
      <w:proofErr w:type="spellEnd"/>
      <w:r w:rsidRPr="000B073B">
        <w:rPr>
          <w:rFonts w:asciiTheme="majorBidi" w:hAnsiTheme="majorBidi" w:cstheme="majorBidi"/>
        </w:rPr>
        <w:t xml:space="preserve">, </w:t>
      </w:r>
      <w:r w:rsidRPr="000B073B">
        <w:rPr>
          <w:rFonts w:asciiTheme="majorBidi" w:hAnsiTheme="majorBidi" w:cstheme="majorBidi"/>
          <w:i/>
          <w:iCs/>
        </w:rPr>
        <w:t>Coping with Trade-offs: Psychological Constraints and Political Implications</w:t>
      </w:r>
      <w:r w:rsidRPr="000B073B">
        <w:rPr>
          <w:rFonts w:asciiTheme="majorBidi" w:hAnsiTheme="majorBidi" w:cstheme="majorBidi"/>
        </w:rPr>
        <w:t xml:space="preserve">, </w:t>
      </w:r>
      <w:r w:rsidRPr="000B073B">
        <w:rPr>
          <w:rFonts w:asciiTheme="majorBidi" w:hAnsiTheme="majorBidi" w:cstheme="majorBidi"/>
          <w:i/>
          <w:iCs/>
        </w:rPr>
        <w:t>in</w:t>
      </w:r>
      <w:r w:rsidRPr="000B073B">
        <w:rPr>
          <w:rFonts w:asciiTheme="majorBidi" w:hAnsiTheme="majorBidi" w:cstheme="majorBidi"/>
        </w:rPr>
        <w:t xml:space="preserve"> </w:t>
      </w:r>
      <w:r w:rsidRPr="000B073B">
        <w:rPr>
          <w:rFonts w:asciiTheme="majorBidi" w:hAnsiTheme="majorBidi" w:cstheme="majorBidi"/>
          <w:smallCaps/>
        </w:rPr>
        <w:t>Elements of Reason: cognition, choice, and the bounds of rationality</w:t>
      </w:r>
      <w:r w:rsidRPr="000B073B">
        <w:rPr>
          <w:rFonts w:asciiTheme="majorBidi" w:hAnsiTheme="majorBidi" w:cstheme="majorBidi"/>
        </w:rPr>
        <w:t xml:space="preserve"> 239, 254-55 (S. </w:t>
      </w:r>
      <w:proofErr w:type="spellStart"/>
      <w:r w:rsidRPr="000B073B">
        <w:rPr>
          <w:rFonts w:asciiTheme="majorBidi" w:hAnsiTheme="majorBidi" w:cstheme="majorBidi"/>
        </w:rPr>
        <w:t>Lupia</w:t>
      </w:r>
      <w:proofErr w:type="spellEnd"/>
      <w:r w:rsidRPr="000B073B">
        <w:rPr>
          <w:rFonts w:asciiTheme="majorBidi" w:hAnsiTheme="majorBidi" w:cstheme="majorBidi"/>
        </w:rPr>
        <w:t xml:space="preserve"> et al. eds., 2000).</w:t>
      </w:r>
    </w:p>
  </w:footnote>
  <w:footnote w:id="267">
    <w:p w14:paraId="5CB945CA"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proofErr w:type="gramStart"/>
      <w:r w:rsidRPr="000B073B">
        <w:rPr>
          <w:rFonts w:asciiTheme="majorBidi" w:hAnsiTheme="majorBidi" w:cstheme="majorBidi"/>
        </w:rPr>
        <w:t>Baron &amp;</w:t>
      </w:r>
      <w:proofErr w:type="gramEnd"/>
      <w:r w:rsidRPr="000B073B">
        <w:rPr>
          <w:rFonts w:asciiTheme="majorBidi" w:hAnsiTheme="majorBidi" w:cstheme="majorBidi"/>
        </w:rPr>
        <w:t xml:space="preserve"> </w:t>
      </w:r>
      <w:proofErr w:type="spellStart"/>
      <w:r w:rsidRPr="000B073B">
        <w:rPr>
          <w:rFonts w:asciiTheme="majorBidi" w:hAnsiTheme="majorBidi" w:cstheme="majorBidi"/>
        </w:rPr>
        <w:t>Spranca</w:t>
      </w:r>
      <w:proofErr w:type="spellEnd"/>
      <w:r w:rsidRPr="000B073B">
        <w:rPr>
          <w:rFonts w:asciiTheme="majorBidi" w:hAnsiTheme="majorBidi" w:cstheme="majorBidi"/>
        </w:rPr>
        <w:t xml:space="preserve">, </w:t>
      </w:r>
      <w:r w:rsidRPr="000B073B">
        <w:rPr>
          <w:rFonts w:asciiTheme="majorBidi" w:hAnsiTheme="majorBidi" w:cstheme="majorBidi"/>
          <w:i/>
          <w:iCs/>
        </w:rPr>
        <w:t xml:space="preserve">supra </w:t>
      </w:r>
      <w:r w:rsidRPr="000B073B">
        <w:rPr>
          <w:rFonts w:asciiTheme="majorBidi" w:hAnsiTheme="majorBidi" w:cstheme="majorBidi"/>
        </w:rPr>
        <w:t xml:space="preserve">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_Ref432506696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246</w:t>
      </w:r>
      <w:r w:rsidRPr="000B073B">
        <w:rPr>
          <w:rFonts w:asciiTheme="majorBidi" w:hAnsiTheme="majorBidi" w:cstheme="majorBidi"/>
        </w:rPr>
        <w:fldChar w:fldCharType="end"/>
      </w:r>
      <w:r w:rsidRPr="000B073B">
        <w:rPr>
          <w:rFonts w:asciiTheme="majorBidi" w:hAnsiTheme="majorBidi" w:cstheme="majorBidi"/>
        </w:rPr>
        <w:t>, at 13.</w:t>
      </w:r>
    </w:p>
  </w:footnote>
  <w:footnote w:id="268">
    <w:p w14:paraId="4AB734CB"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Jonathan Baron, </w:t>
      </w:r>
      <w:r w:rsidRPr="000B073B">
        <w:rPr>
          <w:rFonts w:asciiTheme="majorBidi" w:hAnsiTheme="majorBidi" w:cstheme="majorBidi"/>
          <w:i/>
          <w:iCs/>
        </w:rPr>
        <w:t>Moral Judgement</w:t>
      </w:r>
      <w:r w:rsidRPr="000B073B">
        <w:rPr>
          <w:rFonts w:asciiTheme="majorBidi" w:hAnsiTheme="majorBidi" w:cstheme="majorBidi"/>
        </w:rPr>
        <w:t xml:space="preserve">, </w:t>
      </w:r>
      <w:r w:rsidRPr="000B073B">
        <w:rPr>
          <w:rFonts w:asciiTheme="majorBidi" w:hAnsiTheme="majorBidi" w:cstheme="majorBidi"/>
          <w:i/>
          <w:iCs/>
        </w:rPr>
        <w:t>in</w:t>
      </w:r>
      <w:r w:rsidRPr="000B073B">
        <w:rPr>
          <w:rFonts w:asciiTheme="majorBidi" w:hAnsiTheme="majorBidi" w:cstheme="majorBidi"/>
        </w:rPr>
        <w:t xml:space="preserve"> </w:t>
      </w:r>
      <w:r w:rsidRPr="000B073B">
        <w:rPr>
          <w:rFonts w:asciiTheme="majorBidi" w:hAnsiTheme="majorBidi" w:cstheme="majorBidi"/>
          <w:smallCaps/>
        </w:rPr>
        <w:t>The Oxford Handbook of Behavioral Economics and the Law</w:t>
      </w:r>
      <w:r w:rsidRPr="000B073B">
        <w:rPr>
          <w:rFonts w:asciiTheme="majorBidi" w:hAnsiTheme="majorBidi" w:cstheme="majorBidi"/>
        </w:rPr>
        <w:t xml:space="preserve">, 61, 70 (Eyal Zamir &amp; Doron Teichman eds., 2014) (viewing protected values as a type of over generalization). </w:t>
      </w:r>
    </w:p>
  </w:footnote>
  <w:footnote w:id="269">
    <w:p w14:paraId="7171247D" w14:textId="77777777" w:rsidR="0095491D" w:rsidRPr="000B073B" w:rsidRDefault="0095491D" w:rsidP="00CA13DC">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Alan Page Fiske &amp; Philip E. </w:t>
      </w:r>
      <w:proofErr w:type="spellStart"/>
      <w:r w:rsidRPr="000B073B">
        <w:rPr>
          <w:rFonts w:asciiTheme="majorBidi" w:hAnsiTheme="majorBidi" w:cstheme="majorBidi"/>
        </w:rPr>
        <w:t>Tetlock</w:t>
      </w:r>
      <w:proofErr w:type="spellEnd"/>
      <w:r w:rsidRPr="000B073B">
        <w:rPr>
          <w:rFonts w:asciiTheme="majorBidi" w:hAnsiTheme="majorBidi" w:cstheme="majorBidi"/>
        </w:rPr>
        <w:t xml:space="preserve">, </w:t>
      </w:r>
      <w:r w:rsidRPr="000B073B">
        <w:rPr>
          <w:rFonts w:asciiTheme="majorBidi" w:hAnsiTheme="majorBidi" w:cstheme="majorBidi"/>
          <w:i/>
          <w:iCs/>
        </w:rPr>
        <w:t>Taboo Trade-Offs: Reactions to Transactions that Transgress the Spheres of Justice</w:t>
      </w:r>
      <w:r w:rsidRPr="000B073B">
        <w:rPr>
          <w:rFonts w:asciiTheme="majorBidi" w:hAnsiTheme="majorBidi" w:cstheme="majorBidi"/>
        </w:rPr>
        <w:t xml:space="preserve">, 18 </w:t>
      </w:r>
      <w:r w:rsidRPr="000B073B">
        <w:rPr>
          <w:rFonts w:asciiTheme="majorBidi" w:hAnsiTheme="majorBidi" w:cstheme="majorBidi"/>
          <w:smallCaps/>
        </w:rPr>
        <w:t>Pol. Psych</w:t>
      </w:r>
      <w:r w:rsidRPr="000B073B">
        <w:rPr>
          <w:rFonts w:asciiTheme="majorBidi" w:hAnsiTheme="majorBidi" w:cstheme="majorBidi"/>
        </w:rPr>
        <w:t xml:space="preserve">. 255, 291-4 (1997). </w:t>
      </w:r>
    </w:p>
  </w:footnote>
  <w:footnote w:id="270">
    <w:p w14:paraId="1C91B9F6"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supra</w:t>
      </w:r>
      <w:r w:rsidRPr="000B073B">
        <w:rPr>
          <w:rFonts w:asciiTheme="majorBidi" w:hAnsiTheme="majorBidi" w:cstheme="majorBidi"/>
        </w:rPr>
        <w:t xml:space="preserve"> notes </w:t>
      </w:r>
      <w:r w:rsidRPr="000B073B">
        <w:rPr>
          <w:rFonts w:asciiTheme="majorBidi" w:hAnsiTheme="majorBidi" w:cstheme="majorBidi"/>
        </w:rPr>
        <w:fldChar w:fldCharType="begin"/>
      </w:r>
      <w:r w:rsidRPr="000B073B">
        <w:rPr>
          <w:rFonts w:asciiTheme="majorBidi" w:hAnsiTheme="majorBidi" w:cstheme="majorBidi"/>
        </w:rPr>
        <w:instrText xml:space="preserve"> NOTEREF _Ref432587365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58</w:t>
      </w:r>
      <w:r w:rsidRPr="000B073B">
        <w:rPr>
          <w:rFonts w:asciiTheme="majorBidi" w:hAnsiTheme="majorBidi" w:cstheme="majorBidi"/>
        </w:rPr>
        <w:fldChar w:fldCharType="end"/>
      </w:r>
      <w:r w:rsidRPr="000B073B">
        <w:rPr>
          <w:rFonts w:asciiTheme="majorBidi" w:hAnsiTheme="majorBidi" w:cstheme="majorBidi"/>
        </w:rPr>
        <w:t>-</w:t>
      </w:r>
      <w:r w:rsidRPr="000B073B">
        <w:rPr>
          <w:rFonts w:asciiTheme="majorBidi" w:hAnsiTheme="majorBidi" w:cstheme="majorBidi"/>
        </w:rPr>
        <w:fldChar w:fldCharType="begin"/>
      </w:r>
      <w:r w:rsidRPr="000B073B">
        <w:rPr>
          <w:rFonts w:asciiTheme="majorBidi" w:hAnsiTheme="majorBidi" w:cstheme="majorBidi"/>
        </w:rPr>
        <w:instrText xml:space="preserve"> NOTEREF _Ref432587368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61</w:t>
      </w:r>
      <w:r w:rsidRPr="000B073B">
        <w:rPr>
          <w:rFonts w:asciiTheme="majorBidi" w:hAnsiTheme="majorBidi" w:cstheme="majorBidi"/>
        </w:rPr>
        <w:fldChar w:fldCharType="end"/>
      </w:r>
      <w:r w:rsidRPr="000B073B">
        <w:rPr>
          <w:rFonts w:asciiTheme="majorBidi" w:hAnsiTheme="majorBidi" w:cstheme="majorBidi"/>
        </w:rPr>
        <w:t xml:space="preserve"> and accompanying text.</w:t>
      </w:r>
    </w:p>
  </w:footnote>
  <w:footnote w:id="271">
    <w:p w14:paraId="1D97D13C" w14:textId="77777777" w:rsidR="0095491D" w:rsidRPr="000B073B" w:rsidRDefault="0095491D" w:rsidP="00E608ED">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A. Mitchell </w:t>
      </w:r>
      <w:proofErr w:type="spellStart"/>
      <w:r w:rsidRPr="000B073B">
        <w:rPr>
          <w:rFonts w:asciiTheme="majorBidi" w:hAnsiTheme="majorBidi" w:cstheme="majorBidi"/>
        </w:rPr>
        <w:t>Polinsky</w:t>
      </w:r>
      <w:proofErr w:type="spellEnd"/>
      <w:r w:rsidRPr="000B073B">
        <w:rPr>
          <w:rFonts w:asciiTheme="majorBidi" w:hAnsiTheme="majorBidi" w:cstheme="majorBidi"/>
          <w:i/>
          <w:iCs/>
        </w:rPr>
        <w:t>, Deterrence and the Optimality of Rewarding Prisoners for Good Behavior</w:t>
      </w:r>
      <w:r w:rsidRPr="000B073B">
        <w:rPr>
          <w:rFonts w:asciiTheme="majorBidi" w:hAnsiTheme="majorBidi" w:cstheme="majorBidi"/>
        </w:rPr>
        <w:t xml:space="preserve">, </w:t>
      </w:r>
      <w:r w:rsidRPr="000B073B">
        <w:rPr>
          <w:rFonts w:asciiTheme="majorBidi" w:hAnsiTheme="majorBidi" w:cstheme="majorBidi"/>
          <w:smallCaps/>
        </w:rPr>
        <w:t>44 Int’l Rev. L. &amp; Econ</w:t>
      </w:r>
      <w:r w:rsidRPr="000B073B">
        <w:rPr>
          <w:rFonts w:asciiTheme="majorBidi" w:hAnsiTheme="majorBidi" w:cstheme="majorBidi"/>
        </w:rPr>
        <w:t xml:space="preserve"> 1 , 1 (2015).</w:t>
      </w:r>
    </w:p>
  </w:footnote>
  <w:footnote w:id="272">
    <w:p w14:paraId="6442AD7B" w14:textId="77777777" w:rsidR="0095491D" w:rsidRPr="000B073B" w:rsidRDefault="0095491D" w:rsidP="00E608ED">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 e.g.</w:t>
      </w:r>
      <w:r w:rsidRPr="000B073B">
        <w:rPr>
          <w:rFonts w:asciiTheme="majorBidi" w:hAnsiTheme="majorBidi" w:cstheme="majorBidi"/>
        </w:rPr>
        <w:t xml:space="preserve">, David </w:t>
      </w:r>
      <w:proofErr w:type="spellStart"/>
      <w:r w:rsidRPr="000B073B">
        <w:rPr>
          <w:rFonts w:asciiTheme="majorBidi" w:hAnsiTheme="majorBidi" w:cstheme="majorBidi"/>
        </w:rPr>
        <w:t>Finkelhor</w:t>
      </w:r>
      <w:proofErr w:type="spellEnd"/>
      <w:r w:rsidRPr="000B073B">
        <w:rPr>
          <w:rFonts w:asciiTheme="majorBidi" w:hAnsiTheme="majorBidi" w:cstheme="majorBidi"/>
        </w:rPr>
        <w:t xml:space="preserve"> &amp; Angela Brown, </w:t>
      </w:r>
      <w:r w:rsidRPr="000B073B">
        <w:rPr>
          <w:rFonts w:asciiTheme="majorBidi" w:hAnsiTheme="majorBidi" w:cstheme="majorBidi"/>
          <w:i/>
          <w:iCs/>
        </w:rPr>
        <w:t xml:space="preserve">The Traumatic Impact of Child Sexual Abuse: A Conceptualization, </w:t>
      </w:r>
      <w:r w:rsidRPr="000B073B">
        <w:rPr>
          <w:rFonts w:asciiTheme="majorBidi" w:hAnsiTheme="majorBidi" w:cstheme="majorBidi"/>
        </w:rPr>
        <w:t>55</w:t>
      </w:r>
      <w:r w:rsidRPr="000B073B">
        <w:rPr>
          <w:rFonts w:asciiTheme="majorBidi" w:hAnsiTheme="majorBidi" w:cstheme="majorBidi"/>
          <w:i/>
          <w:iCs/>
        </w:rPr>
        <w:t xml:space="preserve"> </w:t>
      </w:r>
      <w:r w:rsidRPr="000B073B">
        <w:rPr>
          <w:rFonts w:asciiTheme="majorBidi" w:hAnsiTheme="majorBidi" w:cstheme="majorBidi"/>
          <w:smallCaps/>
        </w:rPr>
        <w:t xml:space="preserve">Amer. J. </w:t>
      </w:r>
      <w:proofErr w:type="spellStart"/>
      <w:r w:rsidRPr="000B073B">
        <w:rPr>
          <w:rFonts w:asciiTheme="majorBidi" w:hAnsiTheme="majorBidi" w:cstheme="majorBidi"/>
          <w:smallCaps/>
        </w:rPr>
        <w:t>Orthopsychiat</w:t>
      </w:r>
      <w:proofErr w:type="spellEnd"/>
      <w:r w:rsidRPr="000B073B">
        <w:rPr>
          <w:rFonts w:asciiTheme="majorBidi" w:hAnsiTheme="majorBidi" w:cstheme="majorBidi"/>
          <w:smallCaps/>
        </w:rPr>
        <w:t>.</w:t>
      </w:r>
      <w:r w:rsidRPr="000B073B">
        <w:rPr>
          <w:rFonts w:asciiTheme="majorBidi" w:hAnsiTheme="majorBidi" w:cstheme="majorBidi"/>
          <w:i/>
          <w:iCs/>
        </w:rPr>
        <w:t xml:space="preserve"> </w:t>
      </w:r>
      <w:proofErr w:type="gramStart"/>
      <w:r w:rsidRPr="000B073B">
        <w:rPr>
          <w:rFonts w:asciiTheme="majorBidi" w:hAnsiTheme="majorBidi" w:cstheme="majorBidi"/>
        </w:rPr>
        <w:t>530</w:t>
      </w:r>
      <w:proofErr w:type="gramEnd"/>
      <w:r w:rsidRPr="000B073B">
        <w:rPr>
          <w:rFonts w:asciiTheme="majorBidi" w:hAnsiTheme="majorBidi" w:cstheme="majorBidi"/>
        </w:rPr>
        <w:t xml:space="preserve">, 530-538 (1985); Joseph H. </w:t>
      </w:r>
      <w:proofErr w:type="spellStart"/>
      <w:r w:rsidRPr="000B073B">
        <w:rPr>
          <w:rFonts w:asciiTheme="majorBidi" w:hAnsiTheme="majorBidi" w:cstheme="majorBidi"/>
        </w:rPr>
        <w:t>Beitchman</w:t>
      </w:r>
      <w:proofErr w:type="spellEnd"/>
      <w:r w:rsidRPr="000B073B">
        <w:rPr>
          <w:rFonts w:asciiTheme="majorBidi" w:hAnsiTheme="majorBidi" w:cstheme="majorBidi"/>
        </w:rPr>
        <w:t xml:space="preserve"> et al.,</w:t>
      </w:r>
      <w:r w:rsidRPr="000B073B">
        <w:rPr>
          <w:rFonts w:asciiTheme="majorBidi" w:hAnsiTheme="majorBidi" w:cstheme="majorBidi"/>
          <w:i/>
          <w:iCs/>
        </w:rPr>
        <w:t xml:space="preserve"> A Review of the Long-Term Effects of Child Sexual Abuse</w:t>
      </w:r>
      <w:r w:rsidRPr="000B073B">
        <w:rPr>
          <w:rFonts w:asciiTheme="majorBidi" w:hAnsiTheme="majorBidi" w:cstheme="majorBidi"/>
        </w:rPr>
        <w:t xml:space="preserve">, 16 </w:t>
      </w:r>
      <w:r w:rsidRPr="000B073B">
        <w:rPr>
          <w:rFonts w:asciiTheme="majorBidi" w:hAnsiTheme="majorBidi" w:cstheme="majorBidi"/>
          <w:smallCaps/>
        </w:rPr>
        <w:t xml:space="preserve">Child Abuse </w:t>
      </w:r>
      <w:proofErr w:type="spellStart"/>
      <w:r w:rsidRPr="000B073B">
        <w:rPr>
          <w:rFonts w:asciiTheme="majorBidi" w:hAnsiTheme="majorBidi" w:cstheme="majorBidi"/>
          <w:smallCaps/>
        </w:rPr>
        <w:t>Negl</w:t>
      </w:r>
      <w:proofErr w:type="spellEnd"/>
      <w:r w:rsidRPr="000B073B">
        <w:rPr>
          <w:rFonts w:asciiTheme="majorBidi" w:hAnsiTheme="majorBidi" w:cstheme="majorBidi"/>
          <w:smallCaps/>
        </w:rPr>
        <w:t xml:space="preserve">. </w:t>
      </w:r>
      <w:proofErr w:type="gramStart"/>
      <w:r w:rsidRPr="000B073B">
        <w:rPr>
          <w:rFonts w:asciiTheme="majorBidi" w:hAnsiTheme="majorBidi" w:cstheme="majorBidi"/>
        </w:rPr>
        <w:t>101</w:t>
      </w:r>
      <w:proofErr w:type="gramEnd"/>
      <w:r w:rsidRPr="000B073B">
        <w:rPr>
          <w:rFonts w:asciiTheme="majorBidi" w:hAnsiTheme="majorBidi" w:cstheme="majorBidi"/>
        </w:rPr>
        <w:t xml:space="preserve"> (1992).</w:t>
      </w:r>
    </w:p>
  </w:footnote>
  <w:footnote w:id="273">
    <w:p w14:paraId="6D063AD9" w14:textId="77777777" w:rsidR="0095491D" w:rsidRPr="000B073B" w:rsidRDefault="0095491D" w:rsidP="00501A28">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United States</w:t>
      </w:r>
      <w:r w:rsidRPr="000B073B">
        <w:rPr>
          <w:rStyle w:val="alt"/>
          <w:rFonts w:asciiTheme="majorBidi" w:hAnsiTheme="majorBidi" w:cstheme="majorBidi"/>
        </w:rPr>
        <w:t xml:space="preserve"> v. </w:t>
      </w:r>
      <w:r w:rsidRPr="000B073B">
        <w:rPr>
          <w:rFonts w:asciiTheme="majorBidi" w:hAnsiTheme="majorBidi" w:cstheme="majorBidi"/>
        </w:rPr>
        <w:t>Nestor, 574 F.3d 159, 161 (</w:t>
      </w:r>
      <w:proofErr w:type="gramStart"/>
      <w:r w:rsidRPr="000B073B">
        <w:rPr>
          <w:rFonts w:asciiTheme="majorBidi" w:hAnsiTheme="majorBidi" w:cstheme="majorBidi"/>
        </w:rPr>
        <w:t>3d</w:t>
      </w:r>
      <w:proofErr w:type="gramEnd"/>
      <w:r w:rsidRPr="000B073B">
        <w:rPr>
          <w:rFonts w:asciiTheme="majorBidi" w:hAnsiTheme="majorBidi" w:cstheme="majorBidi"/>
        </w:rPr>
        <w:t xml:space="preserve"> Cir. 2009). For a more restrictive interpretation of §2422(b) see United States v. </w:t>
      </w:r>
      <w:proofErr w:type="spellStart"/>
      <w:r w:rsidRPr="000B073B">
        <w:rPr>
          <w:rFonts w:asciiTheme="majorBidi" w:hAnsiTheme="majorBidi" w:cstheme="majorBidi"/>
        </w:rPr>
        <w:t>Gladish</w:t>
      </w:r>
      <w:proofErr w:type="spellEnd"/>
      <w:r w:rsidRPr="000B073B">
        <w:rPr>
          <w:rFonts w:asciiTheme="majorBidi" w:hAnsiTheme="majorBidi" w:cstheme="majorBidi"/>
        </w:rPr>
        <w:t>, 536 F.3d 646, 649 (</w:t>
      </w:r>
      <w:proofErr w:type="gramStart"/>
      <w:r w:rsidRPr="000B073B">
        <w:rPr>
          <w:rFonts w:asciiTheme="majorBidi" w:hAnsiTheme="majorBidi" w:cstheme="majorBidi"/>
        </w:rPr>
        <w:t>7th</w:t>
      </w:r>
      <w:proofErr w:type="gramEnd"/>
      <w:r w:rsidRPr="000B073B">
        <w:rPr>
          <w:rFonts w:asciiTheme="majorBidi" w:hAnsiTheme="majorBidi" w:cstheme="majorBidi"/>
        </w:rPr>
        <w:t xml:space="preserve"> Cir. 2008) in which the court held that a defendant must take some specific actions beyond speech in order to be convicted. </w:t>
      </w:r>
    </w:p>
  </w:footnote>
  <w:footnote w:id="274">
    <w:p w14:paraId="230C77A4"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Michal </w:t>
      </w:r>
      <w:proofErr w:type="spellStart"/>
      <w:r w:rsidRPr="000B073B">
        <w:rPr>
          <w:rFonts w:asciiTheme="majorBidi" w:hAnsiTheme="majorBidi" w:cstheme="majorBidi"/>
        </w:rPr>
        <w:t>Buchhandler</w:t>
      </w:r>
      <w:proofErr w:type="spellEnd"/>
      <w:r w:rsidRPr="000B073B">
        <w:rPr>
          <w:rFonts w:asciiTheme="majorBidi" w:hAnsiTheme="majorBidi" w:cstheme="majorBidi"/>
        </w:rPr>
        <w:t xml:space="preserve">-Raphael, </w:t>
      </w:r>
      <w:r w:rsidRPr="000B073B">
        <w:rPr>
          <w:rFonts w:asciiTheme="majorBidi" w:hAnsiTheme="majorBidi" w:cstheme="majorBidi"/>
          <w:i/>
          <w:iCs/>
        </w:rPr>
        <w:t>Overcriminalizing Speech</w:t>
      </w:r>
      <w:r w:rsidRPr="000B073B">
        <w:rPr>
          <w:rFonts w:asciiTheme="majorBidi" w:hAnsiTheme="majorBidi" w:cstheme="majorBidi"/>
        </w:rPr>
        <w:t xml:space="preserve">, 36 </w:t>
      </w:r>
      <w:r w:rsidRPr="000B073B">
        <w:rPr>
          <w:rFonts w:asciiTheme="majorBidi" w:hAnsiTheme="majorBidi" w:cstheme="majorBidi"/>
          <w:smallCaps/>
        </w:rPr>
        <w:t>Cardozo L. Rev</w:t>
      </w:r>
      <w:r w:rsidRPr="000B073B">
        <w:rPr>
          <w:rFonts w:asciiTheme="majorBidi" w:hAnsiTheme="majorBidi" w:cstheme="majorBidi"/>
        </w:rPr>
        <w:t xml:space="preserve">. 1667, 1693 (2015). </w:t>
      </w:r>
    </w:p>
  </w:footnote>
  <w:footnote w:id="275">
    <w:p w14:paraId="30569C21"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at 1694.</w:t>
      </w:r>
    </w:p>
  </w:footnote>
  <w:footnote w:id="276">
    <w:p w14:paraId="05B077C2" w14:textId="77777777" w:rsidR="0095491D" w:rsidRPr="000B073B" w:rsidRDefault="0095491D" w:rsidP="003C17CF">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An additional example for such a policy can be found in the context of city ordinances that forbid adults who are not accompanying a child from entering into designated play areas in public parks (see, for example, </w:t>
      </w:r>
      <w:r w:rsidRPr="000B073B">
        <w:rPr>
          <w:rFonts w:asciiTheme="majorBidi" w:hAnsiTheme="majorBidi" w:cstheme="majorBidi"/>
          <w:smallCaps/>
        </w:rPr>
        <w:t>New York, Department of Parks &amp; Recreation Rules &amp; Regulations</w:t>
      </w:r>
      <w:r w:rsidRPr="000B073B">
        <w:rPr>
          <w:rFonts w:asciiTheme="majorBidi" w:hAnsiTheme="majorBidi" w:cstheme="majorBidi"/>
        </w:rPr>
        <w:t xml:space="preserve"> §1-05). The nature of the act covered by these ordinances coupled with the lack of a </w:t>
      </w:r>
      <w:proofErr w:type="spellStart"/>
      <w:r w:rsidRPr="000B073B">
        <w:rPr>
          <w:rFonts w:asciiTheme="majorBidi" w:hAnsiTheme="majorBidi" w:cstheme="majorBidi"/>
        </w:rPr>
        <w:t>mens</w:t>
      </w:r>
      <w:proofErr w:type="spellEnd"/>
      <w:r w:rsidRPr="000B073B">
        <w:rPr>
          <w:rFonts w:asciiTheme="majorBidi" w:hAnsiTheme="majorBidi" w:cstheme="majorBidi"/>
        </w:rPr>
        <w:t xml:space="preserve"> rea requirement suggest that they might encompass non-culpable individuals. Nonetheless, legislatures have decided that such an individuals should be subject to a relatively mild sanction given the specific risks associated with such conduct.</w:t>
      </w:r>
    </w:p>
  </w:footnote>
  <w:footnote w:id="277">
    <w:p w14:paraId="5DEEF1D1"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 generally</w:t>
      </w:r>
      <w:r w:rsidRPr="000B073B">
        <w:rPr>
          <w:rFonts w:asciiTheme="majorBidi" w:hAnsiTheme="majorBidi" w:cstheme="majorBidi"/>
        </w:rPr>
        <w:t xml:space="preserve"> William J. </w:t>
      </w:r>
      <w:proofErr w:type="spellStart"/>
      <w:r w:rsidRPr="000B073B">
        <w:rPr>
          <w:rFonts w:asciiTheme="majorBidi" w:hAnsiTheme="majorBidi" w:cstheme="majorBidi"/>
        </w:rPr>
        <w:t>Stuntz</w:t>
      </w:r>
      <w:proofErr w:type="spellEnd"/>
      <w:r w:rsidRPr="000B073B">
        <w:rPr>
          <w:rFonts w:asciiTheme="majorBidi" w:hAnsiTheme="majorBidi" w:cstheme="majorBidi"/>
        </w:rPr>
        <w:t xml:space="preserve">, </w:t>
      </w:r>
      <w:r w:rsidRPr="000B073B">
        <w:rPr>
          <w:rFonts w:asciiTheme="majorBidi" w:hAnsiTheme="majorBidi" w:cstheme="majorBidi"/>
          <w:i/>
          <w:iCs/>
        </w:rPr>
        <w:t>The Pathological Politics of Criminal Law</w:t>
      </w:r>
      <w:r w:rsidRPr="000B073B">
        <w:rPr>
          <w:rFonts w:asciiTheme="majorBidi" w:hAnsiTheme="majorBidi" w:cstheme="majorBidi"/>
        </w:rPr>
        <w:t xml:space="preserve">, </w:t>
      </w:r>
      <w:proofErr w:type="gramStart"/>
      <w:r w:rsidRPr="000B073B">
        <w:rPr>
          <w:rFonts w:asciiTheme="majorBidi" w:hAnsiTheme="majorBidi" w:cstheme="majorBidi"/>
        </w:rPr>
        <w:t>100</w:t>
      </w:r>
      <w:proofErr w:type="gramEnd"/>
      <w:r w:rsidRPr="000B073B">
        <w:rPr>
          <w:rFonts w:asciiTheme="majorBidi" w:hAnsiTheme="majorBidi" w:cstheme="majorBidi"/>
        </w:rPr>
        <w:t xml:space="preserve"> </w:t>
      </w:r>
      <w:r w:rsidRPr="000B073B">
        <w:rPr>
          <w:rFonts w:asciiTheme="majorBidi" w:hAnsiTheme="majorBidi" w:cstheme="majorBidi"/>
          <w:smallCaps/>
        </w:rPr>
        <w:t>Mich. L. Rev</w:t>
      </w:r>
      <w:r w:rsidRPr="000B073B">
        <w:rPr>
          <w:rFonts w:asciiTheme="majorBidi" w:hAnsiTheme="majorBidi" w:cstheme="majorBidi"/>
        </w:rPr>
        <w:t>. 505 (2001).</w:t>
      </w:r>
    </w:p>
  </w:footnote>
  <w:footnote w:id="278">
    <w:p w14:paraId="32BFBC70" w14:textId="53EC584E"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For an early contribution to this body of work see Joel Feinberg, </w:t>
      </w:r>
      <w:r w:rsidRPr="000B073B">
        <w:rPr>
          <w:rFonts w:asciiTheme="majorBidi" w:hAnsiTheme="majorBidi" w:cstheme="majorBidi"/>
          <w:i/>
          <w:iCs/>
        </w:rPr>
        <w:t>The Expressive Function of Punishment</w:t>
      </w:r>
      <w:r w:rsidRPr="000B073B">
        <w:rPr>
          <w:rFonts w:asciiTheme="majorBidi" w:hAnsiTheme="majorBidi" w:cstheme="majorBidi"/>
        </w:rPr>
        <w:t xml:space="preserve">, 49 </w:t>
      </w:r>
      <w:r w:rsidRPr="000B073B">
        <w:rPr>
          <w:rFonts w:asciiTheme="majorBidi" w:hAnsiTheme="majorBidi" w:cstheme="majorBidi"/>
          <w:smallCaps/>
        </w:rPr>
        <w:t xml:space="preserve">Monist </w:t>
      </w:r>
      <w:r w:rsidRPr="000B073B">
        <w:rPr>
          <w:rFonts w:asciiTheme="majorBidi" w:hAnsiTheme="majorBidi" w:cstheme="majorBidi"/>
        </w:rPr>
        <w:t xml:space="preserve">397 (1965), reprinted in </w:t>
      </w:r>
      <w:r w:rsidRPr="000B073B">
        <w:rPr>
          <w:rFonts w:asciiTheme="majorBidi" w:hAnsiTheme="majorBidi" w:cstheme="majorBidi"/>
          <w:smallCaps/>
        </w:rPr>
        <w:t xml:space="preserve">Joel Feinberg, Doing and Deserving </w:t>
      </w:r>
      <w:r w:rsidRPr="000B073B">
        <w:rPr>
          <w:rFonts w:asciiTheme="majorBidi" w:hAnsiTheme="majorBidi" w:cstheme="majorBidi"/>
        </w:rPr>
        <w:t xml:space="preserve">95 (1970). For a later discussion of the theory, see Dan M. </w:t>
      </w:r>
      <w:proofErr w:type="spellStart"/>
      <w:r w:rsidRPr="000B073B">
        <w:rPr>
          <w:rFonts w:asciiTheme="majorBidi" w:hAnsiTheme="majorBidi" w:cstheme="majorBidi"/>
        </w:rPr>
        <w:t>Kahan</w:t>
      </w:r>
      <w:proofErr w:type="spellEnd"/>
      <w:r w:rsidRPr="000B073B">
        <w:rPr>
          <w:rFonts w:asciiTheme="majorBidi" w:hAnsiTheme="majorBidi" w:cstheme="majorBidi"/>
        </w:rPr>
        <w:t xml:space="preserve">, </w:t>
      </w:r>
      <w:r w:rsidRPr="000B073B">
        <w:rPr>
          <w:rFonts w:asciiTheme="majorBidi" w:hAnsiTheme="majorBidi" w:cstheme="majorBidi"/>
          <w:i/>
          <w:iCs/>
        </w:rPr>
        <w:t>The Secret Ambition of Deterrence</w:t>
      </w:r>
      <w:r w:rsidRPr="000B073B">
        <w:rPr>
          <w:rFonts w:asciiTheme="majorBidi" w:hAnsiTheme="majorBidi" w:cstheme="majorBidi"/>
        </w:rPr>
        <w:t xml:space="preserve">, </w:t>
      </w:r>
      <w:proofErr w:type="gramStart"/>
      <w:r w:rsidRPr="000B073B">
        <w:rPr>
          <w:rFonts w:asciiTheme="majorBidi" w:hAnsiTheme="majorBidi" w:cstheme="majorBidi"/>
        </w:rPr>
        <w:t>113</w:t>
      </w:r>
      <w:proofErr w:type="gramEnd"/>
      <w:r w:rsidRPr="000B073B">
        <w:rPr>
          <w:rFonts w:asciiTheme="majorBidi" w:hAnsiTheme="majorBidi" w:cstheme="majorBidi"/>
        </w:rPr>
        <w:t xml:space="preserve"> </w:t>
      </w:r>
      <w:proofErr w:type="spellStart"/>
      <w:r w:rsidRPr="000B073B">
        <w:rPr>
          <w:rFonts w:asciiTheme="majorBidi" w:hAnsiTheme="majorBidi" w:cstheme="majorBidi"/>
          <w:smallCaps/>
        </w:rPr>
        <w:t>Harv</w:t>
      </w:r>
      <w:proofErr w:type="spellEnd"/>
      <w:r w:rsidRPr="000B073B">
        <w:rPr>
          <w:rFonts w:asciiTheme="majorBidi" w:hAnsiTheme="majorBidi" w:cstheme="majorBidi"/>
          <w:smallCaps/>
        </w:rPr>
        <w:t>. L. Rev</w:t>
      </w:r>
      <w:r w:rsidRPr="000B073B">
        <w:rPr>
          <w:rFonts w:asciiTheme="majorBidi" w:hAnsiTheme="majorBidi" w:cstheme="majorBidi"/>
        </w:rPr>
        <w:t xml:space="preserve">. 413, 419-25 (1999). Expressive theories of punishment are part of a general theory of the law. Prominent contributions to this body of work include Richard H. </w:t>
      </w:r>
      <w:proofErr w:type="spellStart"/>
      <w:r w:rsidRPr="000B073B">
        <w:rPr>
          <w:rFonts w:asciiTheme="majorBidi" w:hAnsiTheme="majorBidi" w:cstheme="majorBidi"/>
        </w:rPr>
        <w:t>Pildes</w:t>
      </w:r>
      <w:proofErr w:type="spellEnd"/>
      <w:r w:rsidRPr="000B073B">
        <w:rPr>
          <w:rFonts w:asciiTheme="majorBidi" w:hAnsiTheme="majorBidi" w:cstheme="majorBidi"/>
        </w:rPr>
        <w:t xml:space="preserve"> &amp; Elizabeth S. Anderson, </w:t>
      </w:r>
      <w:r w:rsidRPr="000B073B">
        <w:rPr>
          <w:rFonts w:asciiTheme="majorBidi" w:hAnsiTheme="majorBidi" w:cstheme="majorBidi"/>
          <w:i/>
          <w:iCs/>
        </w:rPr>
        <w:t>Slinging Arrows at Democracy: Social Choice Theory, Value Pluralism, and Democratic Politics</w:t>
      </w:r>
      <w:r w:rsidRPr="000B073B">
        <w:rPr>
          <w:rFonts w:asciiTheme="majorBidi" w:hAnsiTheme="majorBidi" w:cstheme="majorBidi"/>
        </w:rPr>
        <w:t xml:space="preserve">, 90 </w:t>
      </w:r>
      <w:r w:rsidRPr="000B073B">
        <w:rPr>
          <w:rFonts w:asciiTheme="majorBidi" w:hAnsiTheme="majorBidi" w:cstheme="majorBidi"/>
          <w:smallCaps/>
        </w:rPr>
        <w:t>Colum. L. Rev</w:t>
      </w:r>
      <w:r w:rsidRPr="000B073B">
        <w:rPr>
          <w:rFonts w:asciiTheme="majorBidi" w:hAnsiTheme="majorBidi" w:cstheme="majorBidi"/>
        </w:rPr>
        <w:t>. 2121 (1990);</w:t>
      </w:r>
      <w:r w:rsidRPr="000B073B">
        <w:rPr>
          <w:rStyle w:val="documentbody1"/>
          <w:rFonts w:asciiTheme="majorBidi" w:hAnsiTheme="majorBidi" w:cstheme="majorBidi"/>
          <w:color w:val="000000"/>
          <w:sz w:val="20"/>
          <w:szCs w:val="20"/>
        </w:rPr>
        <w:t xml:space="preserve"> </w:t>
      </w:r>
      <w:r w:rsidRPr="000B073B">
        <w:rPr>
          <w:rFonts w:asciiTheme="majorBidi" w:hAnsiTheme="majorBidi" w:cstheme="majorBidi"/>
        </w:rPr>
        <w:t xml:space="preserve">Cass R. Sunstein, </w:t>
      </w:r>
      <w:r w:rsidRPr="000B073B">
        <w:rPr>
          <w:rFonts w:asciiTheme="majorBidi" w:hAnsiTheme="majorBidi" w:cstheme="majorBidi"/>
          <w:i/>
          <w:iCs/>
        </w:rPr>
        <w:t>On the Expressive Function of Law</w:t>
      </w:r>
      <w:r w:rsidRPr="000B073B">
        <w:rPr>
          <w:rFonts w:asciiTheme="majorBidi" w:hAnsiTheme="majorBidi" w:cstheme="majorBidi"/>
        </w:rPr>
        <w:t xml:space="preserve">, 144 U. </w:t>
      </w:r>
      <w:r w:rsidRPr="000B073B">
        <w:rPr>
          <w:rFonts w:asciiTheme="majorBidi" w:hAnsiTheme="majorBidi" w:cstheme="majorBidi"/>
          <w:smallCaps/>
        </w:rPr>
        <w:t>Pa. L. Rev. 2021</w:t>
      </w:r>
      <w:r w:rsidRPr="000B073B">
        <w:rPr>
          <w:rFonts w:asciiTheme="majorBidi" w:hAnsiTheme="majorBidi" w:cstheme="majorBidi"/>
        </w:rPr>
        <w:t xml:space="preserve"> (1996). For a critical view on expressive </w:t>
      </w:r>
      <w:proofErr w:type="gramStart"/>
      <w:r w:rsidRPr="000B073B">
        <w:rPr>
          <w:rFonts w:asciiTheme="majorBidi" w:hAnsiTheme="majorBidi" w:cstheme="majorBidi"/>
        </w:rPr>
        <w:t>theories</w:t>
      </w:r>
      <w:proofErr w:type="gramEnd"/>
      <w:r w:rsidRPr="000B073B">
        <w:rPr>
          <w:rFonts w:asciiTheme="majorBidi" w:hAnsiTheme="majorBidi" w:cstheme="majorBidi"/>
        </w:rPr>
        <w:t xml:space="preserve"> see Matthew D. Adler, </w:t>
      </w:r>
      <w:r w:rsidRPr="000B073B">
        <w:rPr>
          <w:rFonts w:asciiTheme="majorBidi" w:hAnsiTheme="majorBidi" w:cstheme="majorBidi"/>
          <w:i/>
          <w:iCs/>
        </w:rPr>
        <w:t>Expressive Theories of Law: A Skeptical Overview</w:t>
      </w:r>
      <w:r w:rsidRPr="000B073B">
        <w:rPr>
          <w:rFonts w:asciiTheme="majorBidi" w:hAnsiTheme="majorBidi" w:cstheme="majorBidi"/>
        </w:rPr>
        <w:t xml:space="preserve">, </w:t>
      </w:r>
      <w:r w:rsidRPr="000B073B">
        <w:rPr>
          <w:rFonts w:asciiTheme="majorBidi" w:hAnsiTheme="majorBidi" w:cstheme="majorBidi"/>
          <w:smallCaps/>
        </w:rPr>
        <w:t>148 U. Pa. L. Rev.</w:t>
      </w:r>
      <w:r w:rsidRPr="000B073B">
        <w:rPr>
          <w:rFonts w:asciiTheme="majorBidi" w:hAnsiTheme="majorBidi" w:cstheme="majorBidi"/>
        </w:rPr>
        <w:t xml:space="preserve"> 1363 (2000). </w:t>
      </w:r>
    </w:p>
  </w:footnote>
  <w:footnote w:id="279">
    <w:p w14:paraId="00ACE28B" w14:textId="77777777" w:rsidR="0095491D" w:rsidRPr="000B073B" w:rsidRDefault="0095491D" w:rsidP="00FD7AC9">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Dan M. </w:t>
      </w:r>
      <w:proofErr w:type="spellStart"/>
      <w:r w:rsidRPr="000B073B">
        <w:rPr>
          <w:rFonts w:asciiTheme="majorBidi" w:hAnsiTheme="majorBidi" w:cstheme="majorBidi"/>
        </w:rPr>
        <w:t>Kahan</w:t>
      </w:r>
      <w:proofErr w:type="spellEnd"/>
      <w:r w:rsidRPr="000B073B">
        <w:rPr>
          <w:rFonts w:asciiTheme="majorBidi" w:hAnsiTheme="majorBidi" w:cstheme="majorBidi"/>
        </w:rPr>
        <w:t xml:space="preserve">, </w:t>
      </w:r>
      <w:r w:rsidRPr="000B073B">
        <w:rPr>
          <w:rFonts w:asciiTheme="majorBidi" w:hAnsiTheme="majorBidi" w:cstheme="majorBidi"/>
          <w:i/>
          <w:iCs/>
        </w:rPr>
        <w:t>What Do Alternative Sanctions Mean</w:t>
      </w:r>
      <w:proofErr w:type="gramStart"/>
      <w:r w:rsidRPr="000B073B">
        <w:rPr>
          <w:rFonts w:asciiTheme="majorBidi" w:hAnsiTheme="majorBidi" w:cstheme="majorBidi"/>
          <w:i/>
          <w:iCs/>
        </w:rPr>
        <w:t>?</w:t>
      </w:r>
      <w:r w:rsidRPr="000B073B">
        <w:rPr>
          <w:rFonts w:asciiTheme="majorBidi" w:hAnsiTheme="majorBidi" w:cstheme="majorBidi"/>
        </w:rPr>
        <w:t>,</w:t>
      </w:r>
      <w:proofErr w:type="gramEnd"/>
      <w:r w:rsidRPr="000B073B">
        <w:rPr>
          <w:rFonts w:asciiTheme="majorBidi" w:hAnsiTheme="majorBidi" w:cstheme="majorBidi"/>
        </w:rPr>
        <w:t xml:space="preserve"> </w:t>
      </w:r>
      <w:r w:rsidRPr="000B073B">
        <w:rPr>
          <w:rFonts w:asciiTheme="majorBidi" w:hAnsiTheme="majorBidi" w:cstheme="majorBidi"/>
          <w:smallCaps/>
        </w:rPr>
        <w:t>63 U. Chi. L. Rev</w:t>
      </w:r>
      <w:r w:rsidRPr="000B073B">
        <w:rPr>
          <w:rFonts w:asciiTheme="majorBidi" w:hAnsiTheme="majorBidi" w:cstheme="majorBidi"/>
        </w:rPr>
        <w:t>. 591, 593 (1996).</w:t>
      </w:r>
    </w:p>
  </w:footnote>
  <w:footnote w:id="280">
    <w:p w14:paraId="037B9769"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xml:space="preserve">. </w:t>
      </w:r>
      <w:r w:rsidRPr="000B073B">
        <w:rPr>
          <w:rFonts w:asciiTheme="majorBidi" w:hAnsiTheme="majorBidi" w:cstheme="majorBidi"/>
          <w:i/>
          <w:iCs/>
        </w:rPr>
        <w:t xml:space="preserve">See also </w:t>
      </w:r>
      <w:r w:rsidRPr="000B073B">
        <w:rPr>
          <w:rFonts w:asciiTheme="majorBidi" w:hAnsiTheme="majorBidi" w:cstheme="majorBidi"/>
        </w:rPr>
        <w:t xml:space="preserve">Dan M. </w:t>
      </w:r>
      <w:proofErr w:type="spellStart"/>
      <w:r w:rsidRPr="000B073B">
        <w:rPr>
          <w:rFonts w:asciiTheme="majorBidi" w:hAnsiTheme="majorBidi" w:cstheme="majorBidi"/>
        </w:rPr>
        <w:t>Kahan</w:t>
      </w:r>
      <w:proofErr w:type="spellEnd"/>
      <w:r w:rsidRPr="000B073B">
        <w:rPr>
          <w:rFonts w:asciiTheme="majorBidi" w:hAnsiTheme="majorBidi" w:cstheme="majorBidi"/>
        </w:rPr>
        <w:t xml:space="preserve">, </w:t>
      </w:r>
      <w:r w:rsidRPr="000B073B">
        <w:rPr>
          <w:rFonts w:asciiTheme="majorBidi" w:hAnsiTheme="majorBidi" w:cstheme="majorBidi"/>
          <w:i/>
          <w:iCs/>
        </w:rPr>
        <w:t>Two Conceptions of Emotion in Criminal Law</w:t>
      </w:r>
      <w:r w:rsidRPr="000B073B">
        <w:rPr>
          <w:rFonts w:asciiTheme="majorBidi" w:hAnsiTheme="majorBidi" w:cstheme="majorBidi"/>
        </w:rPr>
        <w:t xml:space="preserve">, </w:t>
      </w:r>
      <w:proofErr w:type="gramStart"/>
      <w:r w:rsidRPr="000B073B">
        <w:rPr>
          <w:rFonts w:asciiTheme="majorBidi" w:hAnsiTheme="majorBidi" w:cstheme="majorBidi"/>
        </w:rPr>
        <w:t>96</w:t>
      </w:r>
      <w:proofErr w:type="gramEnd"/>
      <w:r w:rsidRPr="000B073B">
        <w:rPr>
          <w:rFonts w:asciiTheme="majorBidi" w:hAnsiTheme="majorBidi" w:cstheme="majorBidi"/>
        </w:rPr>
        <w:t xml:space="preserve"> </w:t>
      </w:r>
      <w:r w:rsidRPr="000B073B">
        <w:rPr>
          <w:rFonts w:asciiTheme="majorBidi" w:hAnsiTheme="majorBidi" w:cstheme="majorBidi"/>
          <w:smallCaps/>
        </w:rPr>
        <w:t>Colum. L. Rev</w:t>
      </w:r>
      <w:r w:rsidRPr="000B073B">
        <w:rPr>
          <w:rFonts w:asciiTheme="majorBidi" w:hAnsiTheme="majorBidi" w:cstheme="majorBidi"/>
        </w:rPr>
        <w:t>. 269, 351-52 (1996).</w:t>
      </w:r>
    </w:p>
  </w:footnote>
  <w:footnote w:id="281">
    <w:p w14:paraId="376C515E"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w:t>
      </w:r>
    </w:p>
  </w:footnote>
  <w:footnote w:id="282">
    <w:p w14:paraId="517A474A"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proofErr w:type="spellStart"/>
      <w:r w:rsidRPr="000B073B">
        <w:rPr>
          <w:rFonts w:asciiTheme="majorBidi" w:hAnsiTheme="majorBidi" w:cstheme="majorBidi"/>
        </w:rPr>
        <w:t>Kahan</w:t>
      </w:r>
      <w:proofErr w:type="spell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_Ref429602975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265</w:t>
      </w:r>
      <w:r w:rsidRPr="000B073B">
        <w:rPr>
          <w:rFonts w:asciiTheme="majorBidi" w:hAnsiTheme="majorBidi" w:cstheme="majorBidi"/>
        </w:rPr>
        <w:fldChar w:fldCharType="end"/>
      </w:r>
      <w:r w:rsidRPr="000B073B">
        <w:rPr>
          <w:rFonts w:asciiTheme="majorBidi" w:hAnsiTheme="majorBidi" w:cstheme="majorBidi"/>
        </w:rPr>
        <w:t xml:space="preserve">, at 439 (expressive analysis of death penalty); </w:t>
      </w:r>
      <w:proofErr w:type="spellStart"/>
      <w:r w:rsidRPr="000B073B">
        <w:rPr>
          <w:rFonts w:asciiTheme="majorBidi" w:hAnsiTheme="majorBidi" w:cstheme="majorBidi"/>
        </w:rPr>
        <w:t>Kahan</w:t>
      </w:r>
      <w:proofErr w:type="spellEnd"/>
      <w:r w:rsidRPr="000B073B">
        <w:rPr>
          <w:rFonts w:asciiTheme="majorBidi" w:hAnsiTheme="majorBidi" w:cstheme="majorBidi"/>
        </w:rPr>
        <w:t xml:space="preserve">, </w:t>
      </w:r>
      <w:r w:rsidRPr="000B073B">
        <w:rPr>
          <w:rFonts w:asciiTheme="majorBidi" w:hAnsiTheme="majorBidi" w:cstheme="majorBidi"/>
          <w:i/>
          <w:iCs/>
        </w:rPr>
        <w:t xml:space="preserve">supra </w:t>
      </w:r>
      <w:r w:rsidRPr="000B073B">
        <w:rPr>
          <w:rFonts w:asciiTheme="majorBidi" w:hAnsiTheme="majorBidi" w:cstheme="majorBidi"/>
        </w:rPr>
        <w:t xml:space="preserve">note </w:t>
      </w:r>
      <w:r w:rsidRPr="000B073B">
        <w:rPr>
          <w:rFonts w:asciiTheme="majorBidi" w:hAnsiTheme="majorBidi" w:cstheme="majorBidi"/>
        </w:rPr>
        <w:fldChar w:fldCharType="begin"/>
      </w:r>
      <w:r w:rsidRPr="000B073B">
        <w:rPr>
          <w:rFonts w:asciiTheme="majorBidi" w:hAnsiTheme="majorBidi" w:cstheme="majorBidi"/>
        </w:rPr>
        <w:instrText xml:space="preserve"> NOTEREF _Ref430171659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266</w:t>
      </w:r>
      <w:r w:rsidRPr="000B073B">
        <w:rPr>
          <w:rFonts w:asciiTheme="majorBidi" w:hAnsiTheme="majorBidi" w:cstheme="majorBidi"/>
        </w:rPr>
        <w:fldChar w:fldCharType="end"/>
      </w:r>
      <w:r w:rsidRPr="000B073B">
        <w:rPr>
          <w:rFonts w:asciiTheme="majorBidi" w:hAnsiTheme="majorBidi" w:cstheme="majorBidi"/>
        </w:rPr>
        <w:t xml:space="preserve"> at 630-52 (1996) (expressive analysis of shaming).</w:t>
      </w:r>
    </w:p>
  </w:footnote>
  <w:footnote w:id="283">
    <w:p w14:paraId="5B0DCF0D"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See</w:t>
      </w:r>
      <w:r w:rsidRPr="000B073B">
        <w:rPr>
          <w:rFonts w:asciiTheme="majorBidi" w:hAnsiTheme="majorBidi" w:cstheme="majorBidi"/>
        </w:rPr>
        <w:t xml:space="preserve"> </w:t>
      </w:r>
      <w:proofErr w:type="gramStart"/>
      <w:r w:rsidRPr="000B073B">
        <w:rPr>
          <w:rFonts w:asciiTheme="majorBidi" w:hAnsiTheme="majorBidi" w:cstheme="majorBidi"/>
        </w:rPr>
        <w:t>Sunstein,</w:t>
      </w:r>
      <w:proofErr w:type="gramEnd"/>
      <w:r w:rsidRPr="000B073B">
        <w:rPr>
          <w:rFonts w:asciiTheme="majorBidi" w:hAnsiTheme="majorBidi" w:cstheme="majorBidi"/>
        </w:rPr>
        <w:t xml:space="preserve">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_Ref429602975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265</w:t>
      </w:r>
      <w:r w:rsidRPr="000B073B">
        <w:rPr>
          <w:rFonts w:asciiTheme="majorBidi" w:hAnsiTheme="majorBidi" w:cstheme="majorBidi"/>
        </w:rPr>
        <w:fldChar w:fldCharType="end"/>
      </w:r>
      <w:r w:rsidRPr="000B073B">
        <w:rPr>
          <w:rFonts w:asciiTheme="majorBidi" w:hAnsiTheme="majorBidi" w:cstheme="majorBidi"/>
        </w:rPr>
        <w:t>, at 2029-33.</w:t>
      </w:r>
    </w:p>
  </w:footnote>
  <w:footnote w:id="284">
    <w:p w14:paraId="3BCD1883" w14:textId="77777777" w:rsidR="0095491D" w:rsidRPr="000B073B" w:rsidRDefault="0095491D" w:rsidP="00FD7AC9">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See</w:t>
      </w:r>
      <w:r w:rsidRPr="000B073B">
        <w:rPr>
          <w:rFonts w:asciiTheme="majorBidi" w:hAnsiTheme="majorBidi" w:cstheme="majorBidi"/>
        </w:rPr>
        <w:t xml:space="preserve"> Terry S. </w:t>
      </w:r>
      <w:proofErr w:type="spellStart"/>
      <w:r w:rsidRPr="000B073B">
        <w:rPr>
          <w:rFonts w:asciiTheme="majorBidi" w:hAnsiTheme="majorBidi" w:cstheme="majorBidi"/>
        </w:rPr>
        <w:t>Kogan</w:t>
      </w:r>
      <w:proofErr w:type="spellEnd"/>
      <w:r w:rsidRPr="000B073B">
        <w:rPr>
          <w:rFonts w:asciiTheme="majorBidi" w:hAnsiTheme="majorBidi" w:cstheme="majorBidi"/>
        </w:rPr>
        <w:t xml:space="preserve">, </w:t>
      </w:r>
      <w:r w:rsidRPr="000B073B">
        <w:rPr>
          <w:rFonts w:asciiTheme="majorBidi" w:hAnsiTheme="majorBidi" w:cstheme="majorBidi"/>
          <w:i/>
          <w:iCs/>
        </w:rPr>
        <w:t xml:space="preserve">Legislative Violence </w:t>
      </w:r>
      <w:proofErr w:type="gramStart"/>
      <w:r w:rsidRPr="000B073B">
        <w:rPr>
          <w:rFonts w:asciiTheme="majorBidi" w:hAnsiTheme="majorBidi" w:cstheme="majorBidi"/>
          <w:i/>
          <w:iCs/>
        </w:rPr>
        <w:t>Against</w:t>
      </w:r>
      <w:proofErr w:type="gramEnd"/>
      <w:r w:rsidRPr="000B073B">
        <w:rPr>
          <w:rFonts w:asciiTheme="majorBidi" w:hAnsiTheme="majorBidi" w:cstheme="majorBidi"/>
          <w:i/>
          <w:iCs/>
        </w:rPr>
        <w:t xml:space="preserve"> Lesbians and Gay Men</w:t>
      </w:r>
      <w:r w:rsidRPr="000B073B">
        <w:rPr>
          <w:rFonts w:asciiTheme="majorBidi" w:hAnsiTheme="majorBidi" w:cstheme="majorBidi"/>
        </w:rPr>
        <w:t xml:space="preserve">, 1994 </w:t>
      </w:r>
      <w:r w:rsidRPr="000B073B">
        <w:rPr>
          <w:rFonts w:asciiTheme="majorBidi" w:hAnsiTheme="majorBidi" w:cstheme="majorBidi"/>
          <w:smallCaps/>
        </w:rPr>
        <w:t>Utah L. Rev</w:t>
      </w:r>
      <w:r w:rsidRPr="000B073B">
        <w:rPr>
          <w:rFonts w:asciiTheme="majorBidi" w:hAnsiTheme="majorBidi" w:cstheme="majorBidi"/>
        </w:rPr>
        <w:t xml:space="preserve">. 209, 232-34 (1994). Interestingly, laws that require dog owners to collect the poop of their pets have also captured the attention of numerous expressivist theorists. </w:t>
      </w:r>
      <w:r w:rsidRPr="000B073B">
        <w:rPr>
          <w:rFonts w:asciiTheme="majorBidi" w:hAnsiTheme="majorBidi" w:cstheme="majorBidi"/>
          <w:i/>
          <w:iCs/>
        </w:rPr>
        <w:t>See</w:t>
      </w:r>
      <w:r w:rsidRPr="000B073B">
        <w:rPr>
          <w:rFonts w:asciiTheme="majorBidi" w:hAnsiTheme="majorBidi" w:cstheme="majorBidi"/>
        </w:rPr>
        <w:t xml:space="preserve"> Sunstein,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_Ref429602975 \h  \* MERGEFORMAT </w:instrText>
      </w:r>
      <w:r w:rsidRPr="000B073B">
        <w:rPr>
          <w:rFonts w:asciiTheme="majorBidi" w:hAnsiTheme="majorBidi" w:cstheme="majorBidi"/>
        </w:rPr>
      </w:r>
      <w:r w:rsidRPr="000B073B">
        <w:rPr>
          <w:rFonts w:asciiTheme="majorBidi" w:hAnsiTheme="majorBidi" w:cstheme="majorBidi"/>
        </w:rPr>
        <w:fldChar w:fldCharType="separate"/>
      </w:r>
      <w:r w:rsidRPr="000B073B">
        <w:rPr>
          <w:rFonts w:asciiTheme="majorBidi" w:hAnsiTheme="majorBidi" w:cstheme="majorBidi"/>
        </w:rPr>
        <w:t>265</w:t>
      </w:r>
      <w:r w:rsidRPr="000B073B">
        <w:rPr>
          <w:rFonts w:asciiTheme="majorBidi" w:hAnsiTheme="majorBidi" w:cstheme="majorBidi"/>
        </w:rPr>
        <w:fldChar w:fldCharType="end"/>
      </w:r>
      <w:r w:rsidRPr="000B073B">
        <w:rPr>
          <w:rFonts w:asciiTheme="majorBidi" w:hAnsiTheme="majorBidi" w:cstheme="majorBidi"/>
        </w:rPr>
        <w:t xml:space="preserve">, at 2032-33; Robert Cooter, </w:t>
      </w:r>
      <w:r w:rsidRPr="000B073B">
        <w:rPr>
          <w:rFonts w:asciiTheme="majorBidi" w:hAnsiTheme="majorBidi" w:cstheme="majorBidi"/>
          <w:i/>
          <w:iCs/>
        </w:rPr>
        <w:t>Decentralized law for a Complex Economy: The Structural Approach to Adjudicating the New Law Merchant</w:t>
      </w:r>
      <w:r w:rsidRPr="000B073B">
        <w:rPr>
          <w:rFonts w:asciiTheme="majorBidi" w:hAnsiTheme="majorBidi" w:cstheme="majorBidi"/>
        </w:rPr>
        <w:t xml:space="preserve">, 144 </w:t>
      </w:r>
      <w:r w:rsidRPr="000B073B">
        <w:rPr>
          <w:rFonts w:asciiTheme="majorBidi" w:hAnsiTheme="majorBidi" w:cstheme="majorBidi"/>
          <w:smallCaps/>
        </w:rPr>
        <w:t>U. Penn L. Rev</w:t>
      </w:r>
      <w:r w:rsidRPr="000B073B">
        <w:rPr>
          <w:rFonts w:asciiTheme="majorBidi" w:hAnsiTheme="majorBidi" w:cstheme="majorBidi"/>
        </w:rPr>
        <w:t>. 1643, 1675 (1996).</w:t>
      </w:r>
    </w:p>
  </w:footnote>
  <w:footnote w:id="285">
    <w:p w14:paraId="46323DEB" w14:textId="77777777" w:rsidR="0095491D" w:rsidRPr="000B073B" w:rsidRDefault="0095491D" w:rsidP="006779F0">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sz w:val="20"/>
          <w:szCs w:val="20"/>
        </w:rPr>
        <w:t xml:space="preserve">Laurence H. Tribe, </w:t>
      </w:r>
      <w:r w:rsidRPr="000B073B">
        <w:rPr>
          <w:rFonts w:asciiTheme="majorBidi" w:hAnsiTheme="majorBidi" w:cstheme="majorBidi"/>
          <w:i/>
          <w:iCs/>
          <w:sz w:val="20"/>
          <w:szCs w:val="20"/>
        </w:rPr>
        <w:t xml:space="preserve">Trial by Mathematics: Precision and Ritual in the Legal Process, </w:t>
      </w:r>
      <w:r w:rsidRPr="000B073B">
        <w:rPr>
          <w:rFonts w:asciiTheme="majorBidi" w:hAnsiTheme="majorBidi" w:cstheme="majorBidi"/>
          <w:sz w:val="20"/>
          <w:szCs w:val="20"/>
        </w:rPr>
        <w:t>84</w:t>
      </w:r>
      <w:r w:rsidRPr="000B073B">
        <w:rPr>
          <w:rFonts w:asciiTheme="majorBidi" w:hAnsiTheme="majorBidi" w:cstheme="majorBidi"/>
          <w:i/>
          <w:iCs/>
          <w:sz w:val="20"/>
          <w:szCs w:val="20"/>
        </w:rPr>
        <w:t xml:space="preserve"> </w:t>
      </w:r>
      <w:proofErr w:type="spellStart"/>
      <w:r w:rsidRPr="000B073B">
        <w:rPr>
          <w:rFonts w:asciiTheme="majorBidi" w:hAnsiTheme="majorBidi" w:cstheme="majorBidi"/>
          <w:smallCaps/>
          <w:sz w:val="20"/>
          <w:szCs w:val="20"/>
        </w:rPr>
        <w:t>Harv</w:t>
      </w:r>
      <w:proofErr w:type="spellEnd"/>
      <w:r w:rsidRPr="000B073B">
        <w:rPr>
          <w:rFonts w:asciiTheme="majorBidi" w:hAnsiTheme="majorBidi" w:cstheme="majorBidi"/>
          <w:smallCaps/>
          <w:sz w:val="20"/>
          <w:szCs w:val="20"/>
        </w:rPr>
        <w:t>. L. Rev.</w:t>
      </w:r>
      <w:r w:rsidRPr="000B073B">
        <w:rPr>
          <w:rFonts w:asciiTheme="majorBidi" w:hAnsiTheme="majorBidi" w:cstheme="majorBidi"/>
          <w:i/>
          <w:iCs/>
          <w:sz w:val="20"/>
          <w:szCs w:val="20"/>
        </w:rPr>
        <w:t xml:space="preserve"> </w:t>
      </w:r>
      <w:r w:rsidRPr="000B073B">
        <w:rPr>
          <w:rFonts w:asciiTheme="majorBidi" w:hAnsiTheme="majorBidi" w:cstheme="majorBidi"/>
          <w:sz w:val="20"/>
          <w:szCs w:val="20"/>
        </w:rPr>
        <w:t xml:space="preserve">1329, 1372-75 (1971). </w:t>
      </w:r>
      <w:r w:rsidRPr="000B073B">
        <w:rPr>
          <w:rFonts w:asciiTheme="majorBidi" w:hAnsiTheme="majorBidi" w:cstheme="majorBidi"/>
          <w:i/>
          <w:iCs/>
          <w:sz w:val="20"/>
          <w:szCs w:val="20"/>
        </w:rPr>
        <w:t xml:space="preserve">See also </w:t>
      </w:r>
      <w:r w:rsidRPr="000B073B">
        <w:rPr>
          <w:rFonts w:asciiTheme="majorBidi" w:hAnsiTheme="majorBidi" w:cstheme="majorBidi"/>
          <w:sz w:val="20"/>
          <w:szCs w:val="20"/>
        </w:rPr>
        <w:t xml:space="preserve">Carol S. </w:t>
      </w:r>
      <w:proofErr w:type="spellStart"/>
      <w:r w:rsidRPr="000B073B">
        <w:rPr>
          <w:rFonts w:asciiTheme="majorBidi" w:hAnsiTheme="majorBidi" w:cstheme="majorBidi"/>
          <w:sz w:val="20"/>
          <w:szCs w:val="20"/>
        </w:rPr>
        <w:t>Steiker</w:t>
      </w:r>
      <w:proofErr w:type="spellEnd"/>
      <w:r w:rsidRPr="000B073B">
        <w:rPr>
          <w:rFonts w:asciiTheme="majorBidi" w:hAnsiTheme="majorBidi" w:cstheme="majorBidi"/>
          <w:i/>
          <w:iCs/>
          <w:sz w:val="20"/>
          <w:szCs w:val="20"/>
        </w:rPr>
        <w:t>, Punishment and Procedure: Punishment Theory and the Criminal-Civil Procedural Divide</w:t>
      </w:r>
      <w:r w:rsidRPr="000B073B">
        <w:rPr>
          <w:rFonts w:asciiTheme="majorBidi" w:hAnsiTheme="majorBidi" w:cstheme="majorBidi"/>
          <w:sz w:val="20"/>
          <w:szCs w:val="20"/>
        </w:rPr>
        <w:t xml:space="preserve">, 85 </w:t>
      </w:r>
      <w:r w:rsidRPr="000B073B">
        <w:rPr>
          <w:rFonts w:asciiTheme="majorBidi" w:hAnsiTheme="majorBidi" w:cstheme="majorBidi"/>
          <w:smallCaps/>
          <w:sz w:val="20"/>
          <w:szCs w:val="20"/>
        </w:rPr>
        <w:t>Geo. L.J.</w:t>
      </w:r>
      <w:r w:rsidRPr="000B073B">
        <w:rPr>
          <w:rFonts w:asciiTheme="majorBidi" w:hAnsiTheme="majorBidi" w:cstheme="majorBidi"/>
          <w:sz w:val="20"/>
          <w:szCs w:val="20"/>
        </w:rPr>
        <w:t xml:space="preserve"> 775, 808 (1997).</w:t>
      </w:r>
    </w:p>
  </w:footnote>
  <w:footnote w:id="286">
    <w:p w14:paraId="107E4288"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Fisher, </w:t>
      </w:r>
      <w:r w:rsidRPr="000B073B">
        <w:rPr>
          <w:rFonts w:asciiTheme="majorBidi" w:hAnsiTheme="majorBidi" w:cstheme="majorBidi"/>
          <w:i/>
          <w:iCs/>
        </w:rPr>
        <w:t>supra</w:t>
      </w:r>
      <w:r w:rsidRPr="000B073B">
        <w:rPr>
          <w:rFonts w:asciiTheme="majorBidi" w:hAnsiTheme="majorBidi" w:cstheme="majorBidi"/>
        </w:rPr>
        <w:t xml:space="preserve"> note </w:t>
      </w:r>
      <w:r w:rsidRPr="000B073B">
        <w:rPr>
          <w:rFonts w:asciiTheme="majorBidi" w:hAnsiTheme="majorBidi" w:cstheme="majorBidi"/>
        </w:rPr>
        <w:fldChar w:fldCharType="begin"/>
      </w:r>
      <w:r w:rsidRPr="000B073B">
        <w:rPr>
          <w:rFonts w:asciiTheme="majorBidi" w:hAnsiTheme="majorBidi" w:cstheme="majorBidi"/>
        </w:rPr>
        <w:instrText xml:space="preserve"> NOTEREF _Ref432066838 \h  \* MERGEFORMAT </w:instrText>
      </w:r>
      <w:r w:rsidRPr="000B073B">
        <w:rPr>
          <w:rFonts w:asciiTheme="majorBidi" w:hAnsiTheme="majorBidi" w:cstheme="majorBidi"/>
        </w:rPr>
      </w:r>
      <w:r w:rsidRPr="000B073B">
        <w:rPr>
          <w:rFonts w:asciiTheme="majorBidi" w:hAnsiTheme="majorBidi" w:cstheme="majorBidi"/>
        </w:rPr>
        <w:fldChar w:fldCharType="separate"/>
      </w:r>
      <w:proofErr w:type="gramStart"/>
      <w:r w:rsidRPr="000B073B">
        <w:rPr>
          <w:rFonts w:asciiTheme="majorBidi" w:hAnsiTheme="majorBidi" w:cstheme="majorBidi"/>
        </w:rPr>
        <w:t>7</w:t>
      </w:r>
      <w:proofErr w:type="gramEnd"/>
      <w:r w:rsidRPr="000B073B">
        <w:rPr>
          <w:rFonts w:asciiTheme="majorBidi" w:hAnsiTheme="majorBidi" w:cstheme="majorBidi"/>
        </w:rPr>
        <w:fldChar w:fldCharType="end"/>
      </w:r>
      <w:r w:rsidRPr="000B073B">
        <w:rPr>
          <w:rFonts w:asciiTheme="majorBidi" w:hAnsiTheme="majorBidi" w:cstheme="majorBidi"/>
        </w:rPr>
        <w:t>, at 867-71.</w:t>
      </w:r>
    </w:p>
  </w:footnote>
  <w:footnote w:id="287">
    <w:p w14:paraId="56CB0CEF"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at 868.</w:t>
      </w:r>
    </w:p>
  </w:footnote>
  <w:footnote w:id="288">
    <w:p w14:paraId="46BC0923"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 </w:t>
      </w:r>
      <w:r w:rsidRPr="000B073B">
        <w:rPr>
          <w:rFonts w:asciiTheme="majorBidi" w:hAnsiTheme="majorBidi" w:cstheme="majorBidi"/>
          <w:i/>
          <w:iCs/>
        </w:rPr>
        <w:t>Id</w:t>
      </w:r>
      <w:r w:rsidRPr="000B073B">
        <w:rPr>
          <w:rFonts w:asciiTheme="majorBidi" w:hAnsiTheme="majorBidi" w:cstheme="majorBidi"/>
        </w:rPr>
        <w:t>. at 870.</w:t>
      </w:r>
    </w:p>
  </w:footnote>
  <w:footnote w:id="289">
    <w:p w14:paraId="36B7552A" w14:textId="77777777" w:rsidR="0095491D" w:rsidRPr="000B073B" w:rsidRDefault="0095491D" w:rsidP="006779F0">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sz w:val="20"/>
          <w:szCs w:val="20"/>
        </w:rPr>
        <w:t xml:space="preserve"> Richard A. </w:t>
      </w:r>
      <w:proofErr w:type="spellStart"/>
      <w:r w:rsidRPr="000B073B">
        <w:rPr>
          <w:rFonts w:asciiTheme="majorBidi" w:hAnsiTheme="majorBidi" w:cstheme="majorBidi"/>
          <w:sz w:val="20"/>
          <w:szCs w:val="20"/>
        </w:rPr>
        <w:t>Bierschbach</w:t>
      </w:r>
      <w:proofErr w:type="spellEnd"/>
      <w:r w:rsidRPr="000B073B">
        <w:rPr>
          <w:rFonts w:asciiTheme="majorBidi" w:hAnsiTheme="majorBidi" w:cstheme="majorBidi"/>
          <w:sz w:val="20"/>
          <w:szCs w:val="20"/>
        </w:rPr>
        <w:t xml:space="preserve"> &amp; Alex Stein, </w:t>
      </w:r>
      <w:proofErr w:type="spellStart"/>
      <w:r w:rsidRPr="000B073B">
        <w:rPr>
          <w:rFonts w:asciiTheme="majorBidi" w:hAnsiTheme="majorBidi" w:cstheme="majorBidi"/>
          <w:i/>
          <w:iCs/>
          <w:sz w:val="20"/>
          <w:szCs w:val="20"/>
        </w:rPr>
        <w:t>Overenforcement</w:t>
      </w:r>
      <w:proofErr w:type="spellEnd"/>
      <w:r w:rsidRPr="000B073B">
        <w:rPr>
          <w:rFonts w:asciiTheme="majorBidi" w:hAnsiTheme="majorBidi" w:cstheme="majorBidi"/>
          <w:sz w:val="20"/>
          <w:szCs w:val="20"/>
        </w:rPr>
        <w:t xml:space="preserve">, 93 </w:t>
      </w:r>
      <w:r w:rsidRPr="000B073B">
        <w:rPr>
          <w:rFonts w:asciiTheme="majorBidi" w:hAnsiTheme="majorBidi" w:cstheme="majorBidi"/>
          <w:smallCaps/>
          <w:sz w:val="20"/>
          <w:szCs w:val="20"/>
        </w:rPr>
        <w:t>Geo. L.J.</w:t>
      </w:r>
      <w:r w:rsidRPr="000B073B">
        <w:rPr>
          <w:rFonts w:asciiTheme="majorBidi" w:hAnsiTheme="majorBidi" w:cstheme="majorBidi"/>
          <w:sz w:val="20"/>
          <w:szCs w:val="20"/>
        </w:rPr>
        <w:t xml:space="preserve"> 1743, 1749–56 (2005).</w:t>
      </w:r>
    </w:p>
  </w:footnote>
  <w:footnote w:id="290">
    <w:p w14:paraId="324AF0BE" w14:textId="77777777" w:rsidR="0095491D" w:rsidRPr="000B073B" w:rsidRDefault="0095491D" w:rsidP="006779F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i/>
          <w:iCs/>
        </w:rPr>
        <w:t>Id</w:t>
      </w:r>
      <w:r w:rsidRPr="000B073B">
        <w:rPr>
          <w:rFonts w:asciiTheme="majorBidi" w:hAnsiTheme="majorBidi" w:cstheme="majorBidi"/>
        </w:rPr>
        <w:t>. at 1750.</w:t>
      </w:r>
    </w:p>
  </w:footnote>
  <w:footnote w:id="291">
    <w:p w14:paraId="0002839E" w14:textId="77777777" w:rsidR="0095491D" w:rsidRPr="000B073B" w:rsidRDefault="0095491D" w:rsidP="006779F0">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sz w:val="20"/>
          <w:szCs w:val="20"/>
        </w:rPr>
        <w:t xml:space="preserve"> Dianne C. Berry et al., </w:t>
      </w:r>
      <w:r w:rsidRPr="000B073B">
        <w:rPr>
          <w:rFonts w:asciiTheme="majorBidi" w:hAnsiTheme="majorBidi" w:cstheme="majorBidi"/>
          <w:i/>
          <w:iCs/>
          <w:sz w:val="20"/>
          <w:szCs w:val="20"/>
        </w:rPr>
        <w:t>Patients’ Understanding of Risk Associated with Medication Use: Impact of European Commission Guidelines and Other Risk Scales</w:t>
      </w:r>
      <w:r w:rsidRPr="000B073B">
        <w:rPr>
          <w:rFonts w:asciiTheme="majorBidi" w:hAnsiTheme="majorBidi" w:cstheme="majorBidi"/>
          <w:sz w:val="20"/>
          <w:szCs w:val="20"/>
        </w:rPr>
        <w:t xml:space="preserve">, 26 </w:t>
      </w:r>
      <w:r w:rsidRPr="000B073B">
        <w:rPr>
          <w:rFonts w:asciiTheme="majorBidi" w:hAnsiTheme="majorBidi" w:cstheme="majorBidi"/>
          <w:smallCaps/>
          <w:sz w:val="20"/>
          <w:szCs w:val="20"/>
        </w:rPr>
        <w:t>Drug Safety</w:t>
      </w:r>
      <w:r w:rsidRPr="000B073B">
        <w:rPr>
          <w:rFonts w:asciiTheme="majorBidi" w:hAnsiTheme="majorBidi" w:cstheme="majorBidi"/>
          <w:sz w:val="20"/>
          <w:szCs w:val="20"/>
        </w:rPr>
        <w:t xml:space="preserve"> 1, 2 (2003).</w:t>
      </w:r>
    </w:p>
  </w:footnote>
  <w:footnote w:id="292">
    <w:p w14:paraId="7B7FE8A9" w14:textId="77777777" w:rsidR="0095491D" w:rsidRPr="000B073B" w:rsidRDefault="0095491D" w:rsidP="006779F0">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sz w:val="20"/>
          <w:szCs w:val="20"/>
        </w:rPr>
        <w:t xml:space="preserve"> </w:t>
      </w:r>
      <w:r w:rsidRPr="000B073B">
        <w:rPr>
          <w:rFonts w:asciiTheme="majorBidi" w:hAnsiTheme="majorBidi" w:cstheme="majorBidi"/>
          <w:i/>
          <w:iCs/>
          <w:sz w:val="20"/>
          <w:szCs w:val="20"/>
        </w:rPr>
        <w:t>Id</w:t>
      </w:r>
      <w:r w:rsidRPr="000B073B">
        <w:rPr>
          <w:rFonts w:asciiTheme="majorBidi" w:hAnsiTheme="majorBidi" w:cstheme="majorBidi"/>
          <w:sz w:val="20"/>
          <w:szCs w:val="20"/>
        </w:rPr>
        <w:t>.</w:t>
      </w:r>
    </w:p>
  </w:footnote>
  <w:footnote w:id="293">
    <w:p w14:paraId="750D984C" w14:textId="77777777" w:rsidR="0095491D" w:rsidRPr="000B073B" w:rsidRDefault="0095491D" w:rsidP="006779F0">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i/>
          <w:iCs/>
          <w:sz w:val="20"/>
          <w:szCs w:val="20"/>
        </w:rPr>
        <w:t>See</w:t>
      </w:r>
      <w:r w:rsidRPr="000B073B">
        <w:rPr>
          <w:rFonts w:asciiTheme="majorBidi" w:hAnsiTheme="majorBidi" w:cstheme="majorBidi"/>
          <w:sz w:val="20"/>
          <w:szCs w:val="20"/>
        </w:rPr>
        <w:t xml:space="preserve"> Lisa M. Schwartz et al., </w:t>
      </w:r>
      <w:proofErr w:type="gramStart"/>
      <w:r w:rsidRPr="000B073B">
        <w:rPr>
          <w:rFonts w:asciiTheme="majorBidi" w:hAnsiTheme="majorBidi" w:cstheme="majorBidi"/>
          <w:i/>
          <w:iCs/>
          <w:sz w:val="20"/>
          <w:szCs w:val="20"/>
        </w:rPr>
        <w:t>The</w:t>
      </w:r>
      <w:proofErr w:type="gramEnd"/>
      <w:r w:rsidRPr="000B073B">
        <w:rPr>
          <w:rFonts w:asciiTheme="majorBidi" w:hAnsiTheme="majorBidi" w:cstheme="majorBidi"/>
          <w:i/>
          <w:iCs/>
          <w:sz w:val="20"/>
          <w:szCs w:val="20"/>
        </w:rPr>
        <w:t xml:space="preserve"> Role of Numeracy in Understanding the Benefit of Screening Mammography</w:t>
      </w:r>
      <w:r w:rsidRPr="000B073B">
        <w:rPr>
          <w:rFonts w:asciiTheme="majorBidi" w:hAnsiTheme="majorBidi" w:cstheme="majorBidi"/>
          <w:sz w:val="20"/>
          <w:szCs w:val="20"/>
        </w:rPr>
        <w:t xml:space="preserve">, 127 </w:t>
      </w:r>
      <w:r w:rsidRPr="000B073B">
        <w:rPr>
          <w:rFonts w:asciiTheme="majorBidi" w:hAnsiTheme="majorBidi" w:cstheme="majorBidi"/>
          <w:smallCaps/>
          <w:sz w:val="20"/>
          <w:szCs w:val="20"/>
        </w:rPr>
        <w:t>Annals Internal Med</w:t>
      </w:r>
      <w:r w:rsidRPr="000B073B">
        <w:rPr>
          <w:rFonts w:asciiTheme="majorBidi" w:hAnsiTheme="majorBidi" w:cstheme="majorBidi"/>
          <w:sz w:val="20"/>
          <w:szCs w:val="20"/>
        </w:rPr>
        <w:t xml:space="preserve">. 966, 969 (1997). </w:t>
      </w:r>
    </w:p>
  </w:footnote>
  <w:footnote w:id="294">
    <w:p w14:paraId="2598A1CF" w14:textId="77777777" w:rsidR="0095491D" w:rsidRPr="000B073B" w:rsidRDefault="0095491D" w:rsidP="006779F0">
      <w:pPr>
        <w:autoSpaceDE w:val="0"/>
        <w:autoSpaceDN w:val="0"/>
        <w:bidi w:val="0"/>
        <w:adjustRightInd w:val="0"/>
        <w:spacing w:after="0" w:line="240" w:lineRule="auto"/>
        <w:jc w:val="both"/>
        <w:rPr>
          <w:rFonts w:asciiTheme="majorBidi" w:hAnsiTheme="majorBidi" w:cstheme="majorBidi"/>
          <w:sz w:val="20"/>
          <w:szCs w:val="20"/>
        </w:rPr>
      </w:pPr>
      <w:r w:rsidRPr="000B073B">
        <w:rPr>
          <w:rStyle w:val="FootnoteReference"/>
          <w:rFonts w:asciiTheme="majorBidi" w:hAnsiTheme="majorBidi" w:cstheme="majorBidi"/>
          <w:sz w:val="20"/>
          <w:szCs w:val="20"/>
        </w:rPr>
        <w:footnoteRef/>
      </w:r>
      <w:r w:rsidRPr="000B073B">
        <w:rPr>
          <w:rFonts w:asciiTheme="majorBidi" w:hAnsiTheme="majorBidi" w:cstheme="majorBidi"/>
          <w:sz w:val="20"/>
          <w:szCs w:val="20"/>
          <w:rtl/>
        </w:rPr>
        <w:t xml:space="preserve"> </w:t>
      </w:r>
      <w:r w:rsidRPr="000B073B">
        <w:rPr>
          <w:rFonts w:asciiTheme="majorBidi" w:hAnsiTheme="majorBidi" w:cstheme="majorBidi"/>
          <w:sz w:val="20"/>
          <w:szCs w:val="20"/>
        </w:rPr>
        <w:t xml:space="preserve"> </w:t>
      </w:r>
      <w:r w:rsidRPr="000B073B">
        <w:rPr>
          <w:rFonts w:asciiTheme="majorBidi" w:hAnsiTheme="majorBidi" w:cstheme="majorBidi"/>
          <w:i/>
          <w:iCs/>
          <w:sz w:val="20"/>
          <w:szCs w:val="20"/>
        </w:rPr>
        <w:t>Id</w:t>
      </w:r>
      <w:r w:rsidRPr="000B073B">
        <w:rPr>
          <w:rFonts w:asciiTheme="majorBidi" w:hAnsiTheme="majorBidi" w:cstheme="majorBidi"/>
          <w:sz w:val="20"/>
          <w:szCs w:val="20"/>
        </w:rPr>
        <w:t xml:space="preserve">. For similar findings with a more educated pool of subjects see Isaac M. </w:t>
      </w:r>
      <w:proofErr w:type="spellStart"/>
      <w:r w:rsidRPr="000B073B">
        <w:rPr>
          <w:rFonts w:asciiTheme="majorBidi" w:hAnsiTheme="majorBidi" w:cstheme="majorBidi"/>
          <w:sz w:val="20"/>
          <w:szCs w:val="20"/>
        </w:rPr>
        <w:t>Lipkus</w:t>
      </w:r>
      <w:proofErr w:type="spellEnd"/>
      <w:r w:rsidRPr="000B073B">
        <w:rPr>
          <w:rFonts w:asciiTheme="majorBidi" w:hAnsiTheme="majorBidi" w:cstheme="majorBidi"/>
          <w:sz w:val="20"/>
          <w:szCs w:val="20"/>
        </w:rPr>
        <w:t xml:space="preserve"> et al., </w:t>
      </w:r>
      <w:r w:rsidRPr="000B073B">
        <w:rPr>
          <w:rFonts w:asciiTheme="majorBidi" w:hAnsiTheme="majorBidi" w:cstheme="majorBidi"/>
          <w:i/>
          <w:iCs/>
          <w:sz w:val="20"/>
          <w:szCs w:val="20"/>
        </w:rPr>
        <w:t>General Performance on a Numeracy Scale Among Highly Educated Samples</w:t>
      </w:r>
      <w:r w:rsidRPr="000B073B">
        <w:rPr>
          <w:rFonts w:asciiTheme="majorBidi" w:hAnsiTheme="majorBidi" w:cstheme="majorBidi"/>
          <w:sz w:val="20"/>
          <w:szCs w:val="20"/>
        </w:rPr>
        <w:t xml:space="preserve">, 21 </w:t>
      </w:r>
      <w:r w:rsidRPr="000B073B">
        <w:rPr>
          <w:rFonts w:asciiTheme="majorBidi" w:hAnsiTheme="majorBidi" w:cstheme="majorBidi"/>
          <w:smallCaps/>
          <w:sz w:val="20"/>
          <w:szCs w:val="20"/>
        </w:rPr>
        <w:t>Med. Decision Making</w:t>
      </w:r>
      <w:r w:rsidRPr="000B073B">
        <w:rPr>
          <w:rFonts w:asciiTheme="majorBidi" w:hAnsiTheme="majorBidi" w:cstheme="majorBidi"/>
          <w:sz w:val="20"/>
          <w:szCs w:val="20"/>
        </w:rPr>
        <w:t xml:space="preserve"> 37, 39 (2001).</w:t>
      </w:r>
    </w:p>
  </w:footnote>
  <w:footnote w:id="295">
    <w:p w14:paraId="6B8441F6" w14:textId="77777777" w:rsidR="0095491D" w:rsidRPr="000B073B" w:rsidRDefault="0095491D" w:rsidP="00E841B0">
      <w:pPr>
        <w:pStyle w:val="FootnoteText"/>
        <w:bidi w:val="0"/>
        <w:jc w:val="both"/>
        <w:rPr>
          <w:rFonts w:asciiTheme="majorBidi" w:hAnsiTheme="majorBidi" w:cstheme="majorBidi"/>
        </w:rPr>
      </w:pPr>
      <w:r w:rsidRPr="000B073B">
        <w:rPr>
          <w:rStyle w:val="FootnoteReference"/>
          <w:rFonts w:asciiTheme="majorBidi" w:hAnsiTheme="majorBidi" w:cstheme="majorBidi"/>
        </w:rPr>
        <w:footnoteRef/>
      </w:r>
      <w:r w:rsidRPr="000B073B">
        <w:rPr>
          <w:rFonts w:asciiTheme="majorBidi" w:hAnsiTheme="majorBidi" w:cstheme="majorBidi"/>
          <w:rtl/>
        </w:rPr>
        <w:t xml:space="preserve"> </w:t>
      </w:r>
      <w:r w:rsidRPr="000B073B">
        <w:rPr>
          <w:rFonts w:asciiTheme="majorBidi" w:hAnsiTheme="majorBidi" w:cstheme="majorBidi"/>
        </w:rPr>
        <w:t xml:space="preserve">For an argument against the broad scope of criminal prohibitions along these </w:t>
      </w:r>
      <w:proofErr w:type="gramStart"/>
      <w:r w:rsidRPr="000B073B">
        <w:rPr>
          <w:rFonts w:asciiTheme="majorBidi" w:hAnsiTheme="majorBidi" w:cstheme="majorBidi"/>
        </w:rPr>
        <w:t>lines</w:t>
      </w:r>
      <w:proofErr w:type="gramEnd"/>
      <w:r w:rsidRPr="000B073B">
        <w:rPr>
          <w:rFonts w:asciiTheme="majorBidi" w:hAnsiTheme="majorBidi" w:cstheme="majorBidi"/>
        </w:rPr>
        <w:t xml:space="preserve"> see Ronald L. Gainer, </w:t>
      </w:r>
      <w:r w:rsidRPr="000B073B">
        <w:rPr>
          <w:rFonts w:asciiTheme="majorBidi" w:hAnsiTheme="majorBidi" w:cstheme="majorBidi"/>
          <w:i/>
          <w:iCs/>
        </w:rPr>
        <w:t>Federal Criminal Code Reform: Past and Future</w:t>
      </w:r>
      <w:r w:rsidRPr="000B073B">
        <w:rPr>
          <w:rFonts w:asciiTheme="majorBidi" w:hAnsiTheme="majorBidi" w:cstheme="majorBidi"/>
        </w:rPr>
        <w:t xml:space="preserve">, 2 </w:t>
      </w:r>
      <w:r w:rsidRPr="000B073B">
        <w:rPr>
          <w:rFonts w:asciiTheme="majorBidi" w:hAnsiTheme="majorBidi" w:cstheme="majorBidi"/>
          <w:smallCaps/>
        </w:rPr>
        <w:t>Buff. Crim. L. Rev.</w:t>
      </w:r>
      <w:r w:rsidRPr="000B073B">
        <w:rPr>
          <w:rFonts w:asciiTheme="majorBidi" w:hAnsiTheme="majorBidi" w:cstheme="majorBidi"/>
        </w:rPr>
        <w:t xml:space="preserve"> 45, 78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2D5EC" w14:textId="77777777" w:rsidR="0095491D" w:rsidRPr="00C97F5D" w:rsidRDefault="0095491D" w:rsidP="00C97F5D">
    <w:pPr>
      <w:pStyle w:val="Header"/>
      <w:jc w:val="center"/>
      <w:rPr>
        <w:rFonts w:ascii="Times New Roman" w:hAnsi="Times New Roman" w:cs="Times New Roman"/>
      </w:rPr>
    </w:pPr>
  </w:p>
  <w:p w14:paraId="03159EDF" w14:textId="77777777" w:rsidR="0095491D" w:rsidRPr="00C97F5D" w:rsidRDefault="0095491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5EC1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2863BE"/>
    <w:multiLevelType w:val="hybridMultilevel"/>
    <w:tmpl w:val="96FE3CCC"/>
    <w:lvl w:ilvl="0" w:tplc="04090001">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5634C1"/>
    <w:multiLevelType w:val="hybridMultilevel"/>
    <w:tmpl w:val="90384484"/>
    <w:lvl w:ilvl="0" w:tplc="91DE9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E2052F"/>
    <w:multiLevelType w:val="hybridMultilevel"/>
    <w:tmpl w:val="3BCC678A"/>
    <w:lvl w:ilvl="0" w:tplc="6D6078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0D31197"/>
    <w:multiLevelType w:val="hybridMultilevel"/>
    <w:tmpl w:val="F86AB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EA0F7D"/>
    <w:multiLevelType w:val="hybridMultilevel"/>
    <w:tmpl w:val="35EA9C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2B27B5B"/>
    <w:multiLevelType w:val="hybridMultilevel"/>
    <w:tmpl w:val="3A4E2E4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8106111"/>
    <w:multiLevelType w:val="hybridMultilevel"/>
    <w:tmpl w:val="3E00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C412E"/>
    <w:multiLevelType w:val="hybridMultilevel"/>
    <w:tmpl w:val="35EA9C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62C75E5"/>
    <w:multiLevelType w:val="hybridMultilevel"/>
    <w:tmpl w:val="4014B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A684438"/>
    <w:multiLevelType w:val="hybridMultilevel"/>
    <w:tmpl w:val="9574FCC6"/>
    <w:lvl w:ilvl="0" w:tplc="8092E05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B3212C5"/>
    <w:multiLevelType w:val="hybridMultilevel"/>
    <w:tmpl w:val="8850D3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0"/>
  </w:num>
  <w:num w:numId="6">
    <w:abstractNumId w:val="6"/>
  </w:num>
  <w:num w:numId="7">
    <w:abstractNumId w:val="9"/>
  </w:num>
  <w:num w:numId="8">
    <w:abstractNumId w:val="8"/>
  </w:num>
  <w:num w:numId="9">
    <w:abstractNumId w:val="11"/>
  </w:num>
  <w:num w:numId="10">
    <w:abstractNumId w:val="3"/>
  </w:num>
  <w:num w:numId="11">
    <w:abstractNumId w:val="7"/>
  </w:num>
  <w:num w:numId="12">
    <w:abstractNumId w:val="4"/>
  </w:num>
  <w:num w:numId="13">
    <w:abstractNumId w:val="5"/>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87"/>
    <w:rsid w:val="0000061A"/>
    <w:rsid w:val="0000349A"/>
    <w:rsid w:val="0000450A"/>
    <w:rsid w:val="0000634A"/>
    <w:rsid w:val="0000660C"/>
    <w:rsid w:val="0000739D"/>
    <w:rsid w:val="00010F02"/>
    <w:rsid w:val="00012EA7"/>
    <w:rsid w:val="0001302A"/>
    <w:rsid w:val="00013A72"/>
    <w:rsid w:val="000140C3"/>
    <w:rsid w:val="0001485E"/>
    <w:rsid w:val="000148D8"/>
    <w:rsid w:val="00015D47"/>
    <w:rsid w:val="000220C6"/>
    <w:rsid w:val="00023CED"/>
    <w:rsid w:val="00023EF6"/>
    <w:rsid w:val="000245DD"/>
    <w:rsid w:val="00030A9D"/>
    <w:rsid w:val="000315A5"/>
    <w:rsid w:val="0003765E"/>
    <w:rsid w:val="000379E2"/>
    <w:rsid w:val="0004032E"/>
    <w:rsid w:val="0004236E"/>
    <w:rsid w:val="00042FD8"/>
    <w:rsid w:val="00043019"/>
    <w:rsid w:val="00046B88"/>
    <w:rsid w:val="00051175"/>
    <w:rsid w:val="00051878"/>
    <w:rsid w:val="00052FFE"/>
    <w:rsid w:val="00053470"/>
    <w:rsid w:val="00053B40"/>
    <w:rsid w:val="00053FE7"/>
    <w:rsid w:val="000544D1"/>
    <w:rsid w:val="0005559C"/>
    <w:rsid w:val="00056203"/>
    <w:rsid w:val="00057585"/>
    <w:rsid w:val="00057A80"/>
    <w:rsid w:val="00057B57"/>
    <w:rsid w:val="00060F7B"/>
    <w:rsid w:val="000626BB"/>
    <w:rsid w:val="000631B0"/>
    <w:rsid w:val="0006345E"/>
    <w:rsid w:val="0006364B"/>
    <w:rsid w:val="00064056"/>
    <w:rsid w:val="0006437B"/>
    <w:rsid w:val="0006451F"/>
    <w:rsid w:val="00065199"/>
    <w:rsid w:val="00066B6D"/>
    <w:rsid w:val="00066B7D"/>
    <w:rsid w:val="00070FF4"/>
    <w:rsid w:val="00072AAD"/>
    <w:rsid w:val="00072DA4"/>
    <w:rsid w:val="00073E4A"/>
    <w:rsid w:val="000762B8"/>
    <w:rsid w:val="0007740F"/>
    <w:rsid w:val="00080260"/>
    <w:rsid w:val="00081676"/>
    <w:rsid w:val="00081D89"/>
    <w:rsid w:val="000820AF"/>
    <w:rsid w:val="00082CCA"/>
    <w:rsid w:val="00083A9B"/>
    <w:rsid w:val="00084222"/>
    <w:rsid w:val="0008441C"/>
    <w:rsid w:val="000877E0"/>
    <w:rsid w:val="0009047C"/>
    <w:rsid w:val="000916AE"/>
    <w:rsid w:val="00091976"/>
    <w:rsid w:val="00091A89"/>
    <w:rsid w:val="00091DDF"/>
    <w:rsid w:val="000925D3"/>
    <w:rsid w:val="00094FBE"/>
    <w:rsid w:val="000956C0"/>
    <w:rsid w:val="00095F4F"/>
    <w:rsid w:val="000962E8"/>
    <w:rsid w:val="00097434"/>
    <w:rsid w:val="000A174E"/>
    <w:rsid w:val="000A1F00"/>
    <w:rsid w:val="000A311E"/>
    <w:rsid w:val="000A4AE7"/>
    <w:rsid w:val="000A5F83"/>
    <w:rsid w:val="000A7150"/>
    <w:rsid w:val="000A7839"/>
    <w:rsid w:val="000B073B"/>
    <w:rsid w:val="000B0E44"/>
    <w:rsid w:val="000B16AD"/>
    <w:rsid w:val="000B3D7F"/>
    <w:rsid w:val="000B3F28"/>
    <w:rsid w:val="000B6040"/>
    <w:rsid w:val="000B660C"/>
    <w:rsid w:val="000C0443"/>
    <w:rsid w:val="000C327B"/>
    <w:rsid w:val="000C3EE1"/>
    <w:rsid w:val="000C5494"/>
    <w:rsid w:val="000C5787"/>
    <w:rsid w:val="000C5AF2"/>
    <w:rsid w:val="000C5E66"/>
    <w:rsid w:val="000C65E0"/>
    <w:rsid w:val="000D128B"/>
    <w:rsid w:val="000D1355"/>
    <w:rsid w:val="000D1579"/>
    <w:rsid w:val="000D1A1F"/>
    <w:rsid w:val="000D225E"/>
    <w:rsid w:val="000D3253"/>
    <w:rsid w:val="000D5364"/>
    <w:rsid w:val="000D6153"/>
    <w:rsid w:val="000D7334"/>
    <w:rsid w:val="000E1E26"/>
    <w:rsid w:val="000E2306"/>
    <w:rsid w:val="000E2735"/>
    <w:rsid w:val="000E51B7"/>
    <w:rsid w:val="000E5C96"/>
    <w:rsid w:val="000E65FD"/>
    <w:rsid w:val="000E6E4A"/>
    <w:rsid w:val="000E7739"/>
    <w:rsid w:val="000F0B4B"/>
    <w:rsid w:val="000F1DFA"/>
    <w:rsid w:val="000F40E5"/>
    <w:rsid w:val="000F499D"/>
    <w:rsid w:val="000F61FB"/>
    <w:rsid w:val="000F6E3A"/>
    <w:rsid w:val="0010174F"/>
    <w:rsid w:val="00101BC2"/>
    <w:rsid w:val="001038B9"/>
    <w:rsid w:val="0010426F"/>
    <w:rsid w:val="00107656"/>
    <w:rsid w:val="001112FA"/>
    <w:rsid w:val="0011156D"/>
    <w:rsid w:val="00111A20"/>
    <w:rsid w:val="00111AF1"/>
    <w:rsid w:val="00111B36"/>
    <w:rsid w:val="00113FB5"/>
    <w:rsid w:val="00114061"/>
    <w:rsid w:val="001162E8"/>
    <w:rsid w:val="00117EA5"/>
    <w:rsid w:val="00120524"/>
    <w:rsid w:val="001208F9"/>
    <w:rsid w:val="00120DE2"/>
    <w:rsid w:val="00122F0A"/>
    <w:rsid w:val="00123C68"/>
    <w:rsid w:val="00125B18"/>
    <w:rsid w:val="00126948"/>
    <w:rsid w:val="001303DF"/>
    <w:rsid w:val="00130A17"/>
    <w:rsid w:val="00130C9E"/>
    <w:rsid w:val="00131087"/>
    <w:rsid w:val="00131519"/>
    <w:rsid w:val="001317DE"/>
    <w:rsid w:val="001320AB"/>
    <w:rsid w:val="00132453"/>
    <w:rsid w:val="001337EA"/>
    <w:rsid w:val="001339C2"/>
    <w:rsid w:val="00134466"/>
    <w:rsid w:val="00136512"/>
    <w:rsid w:val="001367D6"/>
    <w:rsid w:val="001401C2"/>
    <w:rsid w:val="0014083A"/>
    <w:rsid w:val="00141432"/>
    <w:rsid w:val="00142E55"/>
    <w:rsid w:val="0014447E"/>
    <w:rsid w:val="00144A08"/>
    <w:rsid w:val="00147748"/>
    <w:rsid w:val="001515C3"/>
    <w:rsid w:val="00152385"/>
    <w:rsid w:val="00152996"/>
    <w:rsid w:val="00156D22"/>
    <w:rsid w:val="00157C50"/>
    <w:rsid w:val="001603B2"/>
    <w:rsid w:val="00160D42"/>
    <w:rsid w:val="00163D41"/>
    <w:rsid w:val="0016730D"/>
    <w:rsid w:val="00170130"/>
    <w:rsid w:val="00170F71"/>
    <w:rsid w:val="001735B8"/>
    <w:rsid w:val="001738A2"/>
    <w:rsid w:val="00173DE5"/>
    <w:rsid w:val="00175F50"/>
    <w:rsid w:val="00175FE1"/>
    <w:rsid w:val="00177A73"/>
    <w:rsid w:val="00180EB5"/>
    <w:rsid w:val="00181ADC"/>
    <w:rsid w:val="00181D55"/>
    <w:rsid w:val="00181F4A"/>
    <w:rsid w:val="0018252E"/>
    <w:rsid w:val="00182749"/>
    <w:rsid w:val="00182DC4"/>
    <w:rsid w:val="001854C9"/>
    <w:rsid w:val="00185A07"/>
    <w:rsid w:val="0018622A"/>
    <w:rsid w:val="00186B6D"/>
    <w:rsid w:val="00190E42"/>
    <w:rsid w:val="001918A8"/>
    <w:rsid w:val="0019323B"/>
    <w:rsid w:val="00197D71"/>
    <w:rsid w:val="001A0978"/>
    <w:rsid w:val="001A0C1F"/>
    <w:rsid w:val="001A0FC2"/>
    <w:rsid w:val="001A2271"/>
    <w:rsid w:val="001A31BE"/>
    <w:rsid w:val="001A46E1"/>
    <w:rsid w:val="001A4DD7"/>
    <w:rsid w:val="001A5BF0"/>
    <w:rsid w:val="001A5D9C"/>
    <w:rsid w:val="001B0542"/>
    <w:rsid w:val="001B0F32"/>
    <w:rsid w:val="001B1CCA"/>
    <w:rsid w:val="001B347D"/>
    <w:rsid w:val="001B36D3"/>
    <w:rsid w:val="001B3D40"/>
    <w:rsid w:val="001B4645"/>
    <w:rsid w:val="001B6F74"/>
    <w:rsid w:val="001B7BD0"/>
    <w:rsid w:val="001B7EE8"/>
    <w:rsid w:val="001C0971"/>
    <w:rsid w:val="001C2106"/>
    <w:rsid w:val="001C35AF"/>
    <w:rsid w:val="001C534A"/>
    <w:rsid w:val="001C6B52"/>
    <w:rsid w:val="001C6B86"/>
    <w:rsid w:val="001C6F90"/>
    <w:rsid w:val="001D08B6"/>
    <w:rsid w:val="001D1916"/>
    <w:rsid w:val="001D50AA"/>
    <w:rsid w:val="001D65E0"/>
    <w:rsid w:val="001D6625"/>
    <w:rsid w:val="001D73CF"/>
    <w:rsid w:val="001E07A9"/>
    <w:rsid w:val="001E1CCE"/>
    <w:rsid w:val="001E3BFB"/>
    <w:rsid w:val="001E6D1F"/>
    <w:rsid w:val="001F0677"/>
    <w:rsid w:val="001F2C04"/>
    <w:rsid w:val="001F3B21"/>
    <w:rsid w:val="001F3BDB"/>
    <w:rsid w:val="001F5C32"/>
    <w:rsid w:val="001F6033"/>
    <w:rsid w:val="001F6905"/>
    <w:rsid w:val="001F75B6"/>
    <w:rsid w:val="00202787"/>
    <w:rsid w:val="00203942"/>
    <w:rsid w:val="00204A12"/>
    <w:rsid w:val="00206B65"/>
    <w:rsid w:val="00206F11"/>
    <w:rsid w:val="00210DFF"/>
    <w:rsid w:val="00211345"/>
    <w:rsid w:val="00211588"/>
    <w:rsid w:val="00211C32"/>
    <w:rsid w:val="002128F9"/>
    <w:rsid w:val="00213238"/>
    <w:rsid w:val="00213EF2"/>
    <w:rsid w:val="00215283"/>
    <w:rsid w:val="00216045"/>
    <w:rsid w:val="00217334"/>
    <w:rsid w:val="00220C20"/>
    <w:rsid w:val="00224F34"/>
    <w:rsid w:val="00226E2B"/>
    <w:rsid w:val="00227C08"/>
    <w:rsid w:val="00230D07"/>
    <w:rsid w:val="00230FBD"/>
    <w:rsid w:val="002321B5"/>
    <w:rsid w:val="00232404"/>
    <w:rsid w:val="002325EE"/>
    <w:rsid w:val="00234145"/>
    <w:rsid w:val="00235802"/>
    <w:rsid w:val="00237C87"/>
    <w:rsid w:val="002408CA"/>
    <w:rsid w:val="00240B79"/>
    <w:rsid w:val="00241367"/>
    <w:rsid w:val="00241647"/>
    <w:rsid w:val="00242D39"/>
    <w:rsid w:val="0024339B"/>
    <w:rsid w:val="00245082"/>
    <w:rsid w:val="00245A65"/>
    <w:rsid w:val="00247458"/>
    <w:rsid w:val="00247E1A"/>
    <w:rsid w:val="00252143"/>
    <w:rsid w:val="002543F3"/>
    <w:rsid w:val="002549B8"/>
    <w:rsid w:val="002552C2"/>
    <w:rsid w:val="002561EF"/>
    <w:rsid w:val="00257DFB"/>
    <w:rsid w:val="002615F8"/>
    <w:rsid w:val="00261B2B"/>
    <w:rsid w:val="002620C1"/>
    <w:rsid w:val="00263933"/>
    <w:rsid w:val="00265952"/>
    <w:rsid w:val="002679C6"/>
    <w:rsid w:val="00271D17"/>
    <w:rsid w:val="00274779"/>
    <w:rsid w:val="00275ED9"/>
    <w:rsid w:val="00285EA5"/>
    <w:rsid w:val="00285FF2"/>
    <w:rsid w:val="00287D6E"/>
    <w:rsid w:val="00290350"/>
    <w:rsid w:val="00290836"/>
    <w:rsid w:val="00291274"/>
    <w:rsid w:val="0029173A"/>
    <w:rsid w:val="00291A65"/>
    <w:rsid w:val="00291A9A"/>
    <w:rsid w:val="0029480F"/>
    <w:rsid w:val="00294FCC"/>
    <w:rsid w:val="00296EA2"/>
    <w:rsid w:val="00296EC3"/>
    <w:rsid w:val="002977F8"/>
    <w:rsid w:val="002979F2"/>
    <w:rsid w:val="002A2FB3"/>
    <w:rsid w:val="002A4B21"/>
    <w:rsid w:val="002A5CAA"/>
    <w:rsid w:val="002A696D"/>
    <w:rsid w:val="002B075B"/>
    <w:rsid w:val="002B18DB"/>
    <w:rsid w:val="002B1F01"/>
    <w:rsid w:val="002B1F81"/>
    <w:rsid w:val="002B3216"/>
    <w:rsid w:val="002B3D80"/>
    <w:rsid w:val="002B585E"/>
    <w:rsid w:val="002B7008"/>
    <w:rsid w:val="002B790D"/>
    <w:rsid w:val="002C0E62"/>
    <w:rsid w:val="002C1F09"/>
    <w:rsid w:val="002C2AE8"/>
    <w:rsid w:val="002C4C23"/>
    <w:rsid w:val="002C5CB2"/>
    <w:rsid w:val="002D0EE0"/>
    <w:rsid w:val="002D10A5"/>
    <w:rsid w:val="002D10C8"/>
    <w:rsid w:val="002D212C"/>
    <w:rsid w:val="002D471D"/>
    <w:rsid w:val="002D4BA9"/>
    <w:rsid w:val="002D5119"/>
    <w:rsid w:val="002D584A"/>
    <w:rsid w:val="002D5FB9"/>
    <w:rsid w:val="002D67A4"/>
    <w:rsid w:val="002D7283"/>
    <w:rsid w:val="002D78B2"/>
    <w:rsid w:val="002E0CC0"/>
    <w:rsid w:val="002E4B1A"/>
    <w:rsid w:val="002F0ACB"/>
    <w:rsid w:val="002F168F"/>
    <w:rsid w:val="002F27AA"/>
    <w:rsid w:val="002F343F"/>
    <w:rsid w:val="002F44B9"/>
    <w:rsid w:val="002F4B6E"/>
    <w:rsid w:val="002F57F2"/>
    <w:rsid w:val="002F5A5C"/>
    <w:rsid w:val="002F5A90"/>
    <w:rsid w:val="002F60DA"/>
    <w:rsid w:val="002F64CC"/>
    <w:rsid w:val="002F677D"/>
    <w:rsid w:val="002F741C"/>
    <w:rsid w:val="002F7C6A"/>
    <w:rsid w:val="00300B20"/>
    <w:rsid w:val="00301123"/>
    <w:rsid w:val="0030120D"/>
    <w:rsid w:val="00305424"/>
    <w:rsid w:val="003059BB"/>
    <w:rsid w:val="00307547"/>
    <w:rsid w:val="00311874"/>
    <w:rsid w:val="003118B5"/>
    <w:rsid w:val="00311D0D"/>
    <w:rsid w:val="00313CE6"/>
    <w:rsid w:val="00314593"/>
    <w:rsid w:val="00316BD7"/>
    <w:rsid w:val="00320D19"/>
    <w:rsid w:val="003211AA"/>
    <w:rsid w:val="00322FF5"/>
    <w:rsid w:val="003232F9"/>
    <w:rsid w:val="00323F85"/>
    <w:rsid w:val="003250EE"/>
    <w:rsid w:val="003275EF"/>
    <w:rsid w:val="003279C0"/>
    <w:rsid w:val="00330646"/>
    <w:rsid w:val="00330657"/>
    <w:rsid w:val="0033125D"/>
    <w:rsid w:val="00331DEE"/>
    <w:rsid w:val="0033223E"/>
    <w:rsid w:val="00332F2F"/>
    <w:rsid w:val="00333EDC"/>
    <w:rsid w:val="00334424"/>
    <w:rsid w:val="0033480A"/>
    <w:rsid w:val="00336316"/>
    <w:rsid w:val="0033662B"/>
    <w:rsid w:val="003369B1"/>
    <w:rsid w:val="00336CDE"/>
    <w:rsid w:val="003370E2"/>
    <w:rsid w:val="003377EC"/>
    <w:rsid w:val="0034179D"/>
    <w:rsid w:val="00346784"/>
    <w:rsid w:val="00347832"/>
    <w:rsid w:val="00347D43"/>
    <w:rsid w:val="00351CEA"/>
    <w:rsid w:val="00355778"/>
    <w:rsid w:val="00356E33"/>
    <w:rsid w:val="00357026"/>
    <w:rsid w:val="00357986"/>
    <w:rsid w:val="00361244"/>
    <w:rsid w:val="0036145C"/>
    <w:rsid w:val="00361EB8"/>
    <w:rsid w:val="00364DC5"/>
    <w:rsid w:val="003664EA"/>
    <w:rsid w:val="00367E7F"/>
    <w:rsid w:val="00370E2B"/>
    <w:rsid w:val="003711AB"/>
    <w:rsid w:val="0037134E"/>
    <w:rsid w:val="00371ADF"/>
    <w:rsid w:val="00371EF0"/>
    <w:rsid w:val="00376E14"/>
    <w:rsid w:val="003824D4"/>
    <w:rsid w:val="00383474"/>
    <w:rsid w:val="003837E1"/>
    <w:rsid w:val="0038449C"/>
    <w:rsid w:val="00384586"/>
    <w:rsid w:val="00384DB9"/>
    <w:rsid w:val="0038687B"/>
    <w:rsid w:val="00386B49"/>
    <w:rsid w:val="00390F6B"/>
    <w:rsid w:val="00394E2D"/>
    <w:rsid w:val="00397D9A"/>
    <w:rsid w:val="003A0299"/>
    <w:rsid w:val="003A150D"/>
    <w:rsid w:val="003A1878"/>
    <w:rsid w:val="003A50AD"/>
    <w:rsid w:val="003A644C"/>
    <w:rsid w:val="003A6E35"/>
    <w:rsid w:val="003B2199"/>
    <w:rsid w:val="003B436A"/>
    <w:rsid w:val="003B4E4B"/>
    <w:rsid w:val="003B53CF"/>
    <w:rsid w:val="003B5B3A"/>
    <w:rsid w:val="003C06F8"/>
    <w:rsid w:val="003C1242"/>
    <w:rsid w:val="003C17CF"/>
    <w:rsid w:val="003C1B7A"/>
    <w:rsid w:val="003C2766"/>
    <w:rsid w:val="003C30F3"/>
    <w:rsid w:val="003C35E2"/>
    <w:rsid w:val="003C4812"/>
    <w:rsid w:val="003C5D3F"/>
    <w:rsid w:val="003C5EB3"/>
    <w:rsid w:val="003D08E4"/>
    <w:rsid w:val="003D143E"/>
    <w:rsid w:val="003D147E"/>
    <w:rsid w:val="003D1D19"/>
    <w:rsid w:val="003D2959"/>
    <w:rsid w:val="003D2D22"/>
    <w:rsid w:val="003D3ED2"/>
    <w:rsid w:val="003E1750"/>
    <w:rsid w:val="003E1DBB"/>
    <w:rsid w:val="003E2E50"/>
    <w:rsid w:val="003E3513"/>
    <w:rsid w:val="003E3D82"/>
    <w:rsid w:val="003E3E09"/>
    <w:rsid w:val="003E4621"/>
    <w:rsid w:val="003E4B66"/>
    <w:rsid w:val="003E51EB"/>
    <w:rsid w:val="003E6A4B"/>
    <w:rsid w:val="003F1057"/>
    <w:rsid w:val="003F343D"/>
    <w:rsid w:val="003F5FFA"/>
    <w:rsid w:val="003F6A6E"/>
    <w:rsid w:val="003F6FEF"/>
    <w:rsid w:val="0040048D"/>
    <w:rsid w:val="004018D5"/>
    <w:rsid w:val="00401D50"/>
    <w:rsid w:val="00403038"/>
    <w:rsid w:val="004034CB"/>
    <w:rsid w:val="00403C87"/>
    <w:rsid w:val="00404B42"/>
    <w:rsid w:val="004167E1"/>
    <w:rsid w:val="00417379"/>
    <w:rsid w:val="0042078B"/>
    <w:rsid w:val="00421781"/>
    <w:rsid w:val="00422E04"/>
    <w:rsid w:val="00422E2F"/>
    <w:rsid w:val="004239F8"/>
    <w:rsid w:val="00426E88"/>
    <w:rsid w:val="00426F47"/>
    <w:rsid w:val="004272AD"/>
    <w:rsid w:val="00427BD3"/>
    <w:rsid w:val="004300C5"/>
    <w:rsid w:val="0043013D"/>
    <w:rsid w:val="0043047D"/>
    <w:rsid w:val="00430727"/>
    <w:rsid w:val="004325D0"/>
    <w:rsid w:val="0043304B"/>
    <w:rsid w:val="00434BF3"/>
    <w:rsid w:val="00435D3B"/>
    <w:rsid w:val="00437BC2"/>
    <w:rsid w:val="00440C12"/>
    <w:rsid w:val="00441BF3"/>
    <w:rsid w:val="00442539"/>
    <w:rsid w:val="0044303D"/>
    <w:rsid w:val="0044335B"/>
    <w:rsid w:val="00443383"/>
    <w:rsid w:val="0044360B"/>
    <w:rsid w:val="00443614"/>
    <w:rsid w:val="00443A99"/>
    <w:rsid w:val="00443D8F"/>
    <w:rsid w:val="004440C3"/>
    <w:rsid w:val="00444214"/>
    <w:rsid w:val="00444939"/>
    <w:rsid w:val="00444974"/>
    <w:rsid w:val="00445155"/>
    <w:rsid w:val="00446D88"/>
    <w:rsid w:val="00447230"/>
    <w:rsid w:val="00451FC9"/>
    <w:rsid w:val="004537E6"/>
    <w:rsid w:val="00455080"/>
    <w:rsid w:val="004569D6"/>
    <w:rsid w:val="00457EB6"/>
    <w:rsid w:val="00461CE0"/>
    <w:rsid w:val="004620DE"/>
    <w:rsid w:val="0046392E"/>
    <w:rsid w:val="00463B80"/>
    <w:rsid w:val="004640C4"/>
    <w:rsid w:val="004646B3"/>
    <w:rsid w:val="0046595C"/>
    <w:rsid w:val="004668F9"/>
    <w:rsid w:val="00467A0A"/>
    <w:rsid w:val="00467E6D"/>
    <w:rsid w:val="00470D65"/>
    <w:rsid w:val="00470DE3"/>
    <w:rsid w:val="004723AE"/>
    <w:rsid w:val="00474080"/>
    <w:rsid w:val="004759E8"/>
    <w:rsid w:val="004769EC"/>
    <w:rsid w:val="00476C12"/>
    <w:rsid w:val="00477E49"/>
    <w:rsid w:val="00480CF1"/>
    <w:rsid w:val="00482FA1"/>
    <w:rsid w:val="004838E0"/>
    <w:rsid w:val="004840A0"/>
    <w:rsid w:val="00485745"/>
    <w:rsid w:val="00487F34"/>
    <w:rsid w:val="00490E1B"/>
    <w:rsid w:val="00492465"/>
    <w:rsid w:val="004925E8"/>
    <w:rsid w:val="00492F9E"/>
    <w:rsid w:val="00493AED"/>
    <w:rsid w:val="00494751"/>
    <w:rsid w:val="00494F34"/>
    <w:rsid w:val="0049545B"/>
    <w:rsid w:val="00496D5A"/>
    <w:rsid w:val="00497014"/>
    <w:rsid w:val="004A10F7"/>
    <w:rsid w:val="004A1DFE"/>
    <w:rsid w:val="004A1FA8"/>
    <w:rsid w:val="004A2AEF"/>
    <w:rsid w:val="004A51F9"/>
    <w:rsid w:val="004B02D0"/>
    <w:rsid w:val="004B35D4"/>
    <w:rsid w:val="004B51BC"/>
    <w:rsid w:val="004B73F1"/>
    <w:rsid w:val="004B78BD"/>
    <w:rsid w:val="004C0BD1"/>
    <w:rsid w:val="004C0F60"/>
    <w:rsid w:val="004C1345"/>
    <w:rsid w:val="004C5D7F"/>
    <w:rsid w:val="004C6974"/>
    <w:rsid w:val="004C6CC0"/>
    <w:rsid w:val="004D133B"/>
    <w:rsid w:val="004D198E"/>
    <w:rsid w:val="004D1B7B"/>
    <w:rsid w:val="004D2FC4"/>
    <w:rsid w:val="004D5BB5"/>
    <w:rsid w:val="004D692D"/>
    <w:rsid w:val="004D6C7A"/>
    <w:rsid w:val="004D76F0"/>
    <w:rsid w:val="004E0141"/>
    <w:rsid w:val="004E2240"/>
    <w:rsid w:val="004E2498"/>
    <w:rsid w:val="004E4473"/>
    <w:rsid w:val="004E4743"/>
    <w:rsid w:val="004E4A00"/>
    <w:rsid w:val="004E58F5"/>
    <w:rsid w:val="004E5B32"/>
    <w:rsid w:val="004E716C"/>
    <w:rsid w:val="004F2D8C"/>
    <w:rsid w:val="004F4659"/>
    <w:rsid w:val="004F5215"/>
    <w:rsid w:val="004F54AA"/>
    <w:rsid w:val="004F6707"/>
    <w:rsid w:val="004F670A"/>
    <w:rsid w:val="00501A28"/>
    <w:rsid w:val="005022FD"/>
    <w:rsid w:val="00502741"/>
    <w:rsid w:val="00503D0F"/>
    <w:rsid w:val="005060F7"/>
    <w:rsid w:val="00506BC0"/>
    <w:rsid w:val="00510AD2"/>
    <w:rsid w:val="00510C85"/>
    <w:rsid w:val="00511791"/>
    <w:rsid w:val="005130CB"/>
    <w:rsid w:val="0051332A"/>
    <w:rsid w:val="005149F0"/>
    <w:rsid w:val="005151ED"/>
    <w:rsid w:val="00515B36"/>
    <w:rsid w:val="005167BC"/>
    <w:rsid w:val="005167FD"/>
    <w:rsid w:val="00520FF9"/>
    <w:rsid w:val="00522E4A"/>
    <w:rsid w:val="00523A1E"/>
    <w:rsid w:val="00524A51"/>
    <w:rsid w:val="005306B5"/>
    <w:rsid w:val="005316FC"/>
    <w:rsid w:val="00532B04"/>
    <w:rsid w:val="00534836"/>
    <w:rsid w:val="0053489E"/>
    <w:rsid w:val="005350B0"/>
    <w:rsid w:val="005363C5"/>
    <w:rsid w:val="005419AB"/>
    <w:rsid w:val="00541BB7"/>
    <w:rsid w:val="00541D22"/>
    <w:rsid w:val="00542BF0"/>
    <w:rsid w:val="005433BA"/>
    <w:rsid w:val="00543B7D"/>
    <w:rsid w:val="00545359"/>
    <w:rsid w:val="00546594"/>
    <w:rsid w:val="0054745C"/>
    <w:rsid w:val="005502A6"/>
    <w:rsid w:val="00550795"/>
    <w:rsid w:val="00553C6D"/>
    <w:rsid w:val="00554D56"/>
    <w:rsid w:val="00554F1E"/>
    <w:rsid w:val="00556059"/>
    <w:rsid w:val="0055675B"/>
    <w:rsid w:val="00557759"/>
    <w:rsid w:val="00557963"/>
    <w:rsid w:val="00560BD4"/>
    <w:rsid w:val="00561944"/>
    <w:rsid w:val="0056249F"/>
    <w:rsid w:val="00563171"/>
    <w:rsid w:val="0056427F"/>
    <w:rsid w:val="0056444A"/>
    <w:rsid w:val="00564454"/>
    <w:rsid w:val="005671AD"/>
    <w:rsid w:val="00567D7A"/>
    <w:rsid w:val="00567F18"/>
    <w:rsid w:val="005711F7"/>
    <w:rsid w:val="00573132"/>
    <w:rsid w:val="0057399B"/>
    <w:rsid w:val="00576951"/>
    <w:rsid w:val="00576B4B"/>
    <w:rsid w:val="005813BD"/>
    <w:rsid w:val="005879D9"/>
    <w:rsid w:val="00587FBA"/>
    <w:rsid w:val="005903EC"/>
    <w:rsid w:val="00590611"/>
    <w:rsid w:val="0059094E"/>
    <w:rsid w:val="00590C1C"/>
    <w:rsid w:val="00593F10"/>
    <w:rsid w:val="00594A64"/>
    <w:rsid w:val="00594CA7"/>
    <w:rsid w:val="00595C8F"/>
    <w:rsid w:val="005960BF"/>
    <w:rsid w:val="00596C38"/>
    <w:rsid w:val="005977A2"/>
    <w:rsid w:val="005A00F2"/>
    <w:rsid w:val="005A01B9"/>
    <w:rsid w:val="005A0794"/>
    <w:rsid w:val="005A1CEC"/>
    <w:rsid w:val="005A281E"/>
    <w:rsid w:val="005A2CE8"/>
    <w:rsid w:val="005A43A8"/>
    <w:rsid w:val="005A44EE"/>
    <w:rsid w:val="005A65FC"/>
    <w:rsid w:val="005B044E"/>
    <w:rsid w:val="005B0942"/>
    <w:rsid w:val="005B1751"/>
    <w:rsid w:val="005B19B4"/>
    <w:rsid w:val="005B3A71"/>
    <w:rsid w:val="005B51AE"/>
    <w:rsid w:val="005B5455"/>
    <w:rsid w:val="005C0636"/>
    <w:rsid w:val="005C209F"/>
    <w:rsid w:val="005C20DE"/>
    <w:rsid w:val="005C6D5A"/>
    <w:rsid w:val="005C6F64"/>
    <w:rsid w:val="005C7B82"/>
    <w:rsid w:val="005D0C77"/>
    <w:rsid w:val="005D2886"/>
    <w:rsid w:val="005D2C11"/>
    <w:rsid w:val="005E17F1"/>
    <w:rsid w:val="005E3462"/>
    <w:rsid w:val="005F118A"/>
    <w:rsid w:val="005F1EA5"/>
    <w:rsid w:val="005F215C"/>
    <w:rsid w:val="005F273C"/>
    <w:rsid w:val="005F3A81"/>
    <w:rsid w:val="005F3CBB"/>
    <w:rsid w:val="005F7B08"/>
    <w:rsid w:val="00600AA2"/>
    <w:rsid w:val="00600DBC"/>
    <w:rsid w:val="00601D69"/>
    <w:rsid w:val="006022B9"/>
    <w:rsid w:val="0060270F"/>
    <w:rsid w:val="006037E7"/>
    <w:rsid w:val="00603901"/>
    <w:rsid w:val="006049C2"/>
    <w:rsid w:val="00604EA4"/>
    <w:rsid w:val="00605D44"/>
    <w:rsid w:val="006074C3"/>
    <w:rsid w:val="006105D5"/>
    <w:rsid w:val="00610EC0"/>
    <w:rsid w:val="00611510"/>
    <w:rsid w:val="0061210C"/>
    <w:rsid w:val="00614F36"/>
    <w:rsid w:val="00615535"/>
    <w:rsid w:val="006161BC"/>
    <w:rsid w:val="006165C7"/>
    <w:rsid w:val="006165F0"/>
    <w:rsid w:val="00616B11"/>
    <w:rsid w:val="006170F5"/>
    <w:rsid w:val="00617221"/>
    <w:rsid w:val="00617315"/>
    <w:rsid w:val="006179E8"/>
    <w:rsid w:val="00617DE9"/>
    <w:rsid w:val="0062144F"/>
    <w:rsid w:val="00622DAD"/>
    <w:rsid w:val="00625B13"/>
    <w:rsid w:val="00627871"/>
    <w:rsid w:val="006302D3"/>
    <w:rsid w:val="00630D36"/>
    <w:rsid w:val="00633C0D"/>
    <w:rsid w:val="0063589D"/>
    <w:rsid w:val="00636180"/>
    <w:rsid w:val="00640B6B"/>
    <w:rsid w:val="0064205E"/>
    <w:rsid w:val="00642CCE"/>
    <w:rsid w:val="006472C8"/>
    <w:rsid w:val="00651550"/>
    <w:rsid w:val="00652B55"/>
    <w:rsid w:val="00653154"/>
    <w:rsid w:val="00653596"/>
    <w:rsid w:val="00654423"/>
    <w:rsid w:val="006566D8"/>
    <w:rsid w:val="00656D2A"/>
    <w:rsid w:val="00656D37"/>
    <w:rsid w:val="00660189"/>
    <w:rsid w:val="00660547"/>
    <w:rsid w:val="00660645"/>
    <w:rsid w:val="0066153D"/>
    <w:rsid w:val="00661D4E"/>
    <w:rsid w:val="00663152"/>
    <w:rsid w:val="006637DF"/>
    <w:rsid w:val="00663871"/>
    <w:rsid w:val="006651BA"/>
    <w:rsid w:val="00665DBC"/>
    <w:rsid w:val="00672B04"/>
    <w:rsid w:val="00674193"/>
    <w:rsid w:val="0067490F"/>
    <w:rsid w:val="0067584B"/>
    <w:rsid w:val="006769EC"/>
    <w:rsid w:val="00676F90"/>
    <w:rsid w:val="006773FB"/>
    <w:rsid w:val="006779F0"/>
    <w:rsid w:val="00684603"/>
    <w:rsid w:val="0068468D"/>
    <w:rsid w:val="00684FCF"/>
    <w:rsid w:val="00687B3D"/>
    <w:rsid w:val="00692AA2"/>
    <w:rsid w:val="00692F00"/>
    <w:rsid w:val="0069383A"/>
    <w:rsid w:val="00694196"/>
    <w:rsid w:val="00694CB9"/>
    <w:rsid w:val="006952DA"/>
    <w:rsid w:val="006A044D"/>
    <w:rsid w:val="006A1AA9"/>
    <w:rsid w:val="006A2D86"/>
    <w:rsid w:val="006A561E"/>
    <w:rsid w:val="006A63D6"/>
    <w:rsid w:val="006A642E"/>
    <w:rsid w:val="006B1EDC"/>
    <w:rsid w:val="006B3250"/>
    <w:rsid w:val="006B53A6"/>
    <w:rsid w:val="006B56D8"/>
    <w:rsid w:val="006B6AD5"/>
    <w:rsid w:val="006C2140"/>
    <w:rsid w:val="006C232C"/>
    <w:rsid w:val="006C3DD4"/>
    <w:rsid w:val="006C51CD"/>
    <w:rsid w:val="006C5BBA"/>
    <w:rsid w:val="006C5CB1"/>
    <w:rsid w:val="006C78DF"/>
    <w:rsid w:val="006C7908"/>
    <w:rsid w:val="006D006A"/>
    <w:rsid w:val="006D08BD"/>
    <w:rsid w:val="006D4A96"/>
    <w:rsid w:val="006D5145"/>
    <w:rsid w:val="006E17E5"/>
    <w:rsid w:val="006E4369"/>
    <w:rsid w:val="006E5E5F"/>
    <w:rsid w:val="006E6484"/>
    <w:rsid w:val="006E6DFD"/>
    <w:rsid w:val="006F3EAB"/>
    <w:rsid w:val="006F45AC"/>
    <w:rsid w:val="006F59B6"/>
    <w:rsid w:val="006F6B02"/>
    <w:rsid w:val="006F70BA"/>
    <w:rsid w:val="0070113D"/>
    <w:rsid w:val="00702AEA"/>
    <w:rsid w:val="00702CC3"/>
    <w:rsid w:val="00702E78"/>
    <w:rsid w:val="00703E0D"/>
    <w:rsid w:val="007052F1"/>
    <w:rsid w:val="0070551B"/>
    <w:rsid w:val="00706254"/>
    <w:rsid w:val="00710D82"/>
    <w:rsid w:val="0071144E"/>
    <w:rsid w:val="007127F4"/>
    <w:rsid w:val="00713495"/>
    <w:rsid w:val="007143E6"/>
    <w:rsid w:val="00715BC6"/>
    <w:rsid w:val="00716AB9"/>
    <w:rsid w:val="007178CD"/>
    <w:rsid w:val="00720954"/>
    <w:rsid w:val="007215CC"/>
    <w:rsid w:val="007230AB"/>
    <w:rsid w:val="00725DA8"/>
    <w:rsid w:val="00725E8A"/>
    <w:rsid w:val="00726D44"/>
    <w:rsid w:val="00730372"/>
    <w:rsid w:val="007330B0"/>
    <w:rsid w:val="007337E8"/>
    <w:rsid w:val="00735090"/>
    <w:rsid w:val="007355DB"/>
    <w:rsid w:val="00736066"/>
    <w:rsid w:val="00736553"/>
    <w:rsid w:val="00737C6C"/>
    <w:rsid w:val="00740621"/>
    <w:rsid w:val="007409FF"/>
    <w:rsid w:val="00740CCA"/>
    <w:rsid w:val="00740D29"/>
    <w:rsid w:val="007417D7"/>
    <w:rsid w:val="00744838"/>
    <w:rsid w:val="0074645E"/>
    <w:rsid w:val="00746478"/>
    <w:rsid w:val="00747182"/>
    <w:rsid w:val="007522CD"/>
    <w:rsid w:val="00753CB7"/>
    <w:rsid w:val="007552EC"/>
    <w:rsid w:val="00755AC9"/>
    <w:rsid w:val="00755B11"/>
    <w:rsid w:val="00756280"/>
    <w:rsid w:val="007569FB"/>
    <w:rsid w:val="00757223"/>
    <w:rsid w:val="007602A8"/>
    <w:rsid w:val="0076178E"/>
    <w:rsid w:val="00761F48"/>
    <w:rsid w:val="007624DA"/>
    <w:rsid w:val="0076322E"/>
    <w:rsid w:val="007653C7"/>
    <w:rsid w:val="00766E53"/>
    <w:rsid w:val="00767319"/>
    <w:rsid w:val="007678F7"/>
    <w:rsid w:val="007736D4"/>
    <w:rsid w:val="0077451D"/>
    <w:rsid w:val="00774B8B"/>
    <w:rsid w:val="00777D02"/>
    <w:rsid w:val="00780B71"/>
    <w:rsid w:val="007841DA"/>
    <w:rsid w:val="00784F44"/>
    <w:rsid w:val="007853B1"/>
    <w:rsid w:val="0078579C"/>
    <w:rsid w:val="00786291"/>
    <w:rsid w:val="00791377"/>
    <w:rsid w:val="007921EE"/>
    <w:rsid w:val="0079241F"/>
    <w:rsid w:val="007941F8"/>
    <w:rsid w:val="007960F4"/>
    <w:rsid w:val="00796EDB"/>
    <w:rsid w:val="007A2238"/>
    <w:rsid w:val="007A496C"/>
    <w:rsid w:val="007A51DD"/>
    <w:rsid w:val="007A57F3"/>
    <w:rsid w:val="007B137C"/>
    <w:rsid w:val="007B1AF0"/>
    <w:rsid w:val="007B1C2F"/>
    <w:rsid w:val="007B1DDB"/>
    <w:rsid w:val="007B7922"/>
    <w:rsid w:val="007B7F65"/>
    <w:rsid w:val="007B7F89"/>
    <w:rsid w:val="007C0975"/>
    <w:rsid w:val="007C0CAD"/>
    <w:rsid w:val="007C4202"/>
    <w:rsid w:val="007C4F65"/>
    <w:rsid w:val="007C52B7"/>
    <w:rsid w:val="007C69E4"/>
    <w:rsid w:val="007C6C58"/>
    <w:rsid w:val="007C7183"/>
    <w:rsid w:val="007C7826"/>
    <w:rsid w:val="007D055C"/>
    <w:rsid w:val="007D24E4"/>
    <w:rsid w:val="007D2C50"/>
    <w:rsid w:val="007D2F47"/>
    <w:rsid w:val="007D4333"/>
    <w:rsid w:val="007D45F6"/>
    <w:rsid w:val="007D522C"/>
    <w:rsid w:val="007D5C82"/>
    <w:rsid w:val="007D6396"/>
    <w:rsid w:val="007D63F8"/>
    <w:rsid w:val="007D6421"/>
    <w:rsid w:val="007E0307"/>
    <w:rsid w:val="007E2171"/>
    <w:rsid w:val="007E3B48"/>
    <w:rsid w:val="007E5523"/>
    <w:rsid w:val="007E65C4"/>
    <w:rsid w:val="007E71CD"/>
    <w:rsid w:val="007F12B5"/>
    <w:rsid w:val="007F1712"/>
    <w:rsid w:val="007F1F70"/>
    <w:rsid w:val="007F2912"/>
    <w:rsid w:val="007F48F1"/>
    <w:rsid w:val="007F5103"/>
    <w:rsid w:val="007F6652"/>
    <w:rsid w:val="007F6BCA"/>
    <w:rsid w:val="007F7101"/>
    <w:rsid w:val="008001E3"/>
    <w:rsid w:val="0080135B"/>
    <w:rsid w:val="0080258D"/>
    <w:rsid w:val="0080267B"/>
    <w:rsid w:val="008027C7"/>
    <w:rsid w:val="00802B5A"/>
    <w:rsid w:val="0080383F"/>
    <w:rsid w:val="008042C8"/>
    <w:rsid w:val="00805989"/>
    <w:rsid w:val="00806DFB"/>
    <w:rsid w:val="0081060E"/>
    <w:rsid w:val="008158B3"/>
    <w:rsid w:val="00820FFB"/>
    <w:rsid w:val="00821B0B"/>
    <w:rsid w:val="00822030"/>
    <w:rsid w:val="008223BE"/>
    <w:rsid w:val="00823154"/>
    <w:rsid w:val="0082358B"/>
    <w:rsid w:val="008239F1"/>
    <w:rsid w:val="00824D1C"/>
    <w:rsid w:val="008252C1"/>
    <w:rsid w:val="00825EAF"/>
    <w:rsid w:val="008263C7"/>
    <w:rsid w:val="00826718"/>
    <w:rsid w:val="0082678A"/>
    <w:rsid w:val="008269D6"/>
    <w:rsid w:val="00826EBA"/>
    <w:rsid w:val="0083125B"/>
    <w:rsid w:val="0083198D"/>
    <w:rsid w:val="00834774"/>
    <w:rsid w:val="00834E1F"/>
    <w:rsid w:val="00835FDD"/>
    <w:rsid w:val="0084070C"/>
    <w:rsid w:val="008430B2"/>
    <w:rsid w:val="00843509"/>
    <w:rsid w:val="00846010"/>
    <w:rsid w:val="00847234"/>
    <w:rsid w:val="00847DA0"/>
    <w:rsid w:val="00850947"/>
    <w:rsid w:val="00850BE5"/>
    <w:rsid w:val="00850F61"/>
    <w:rsid w:val="00853166"/>
    <w:rsid w:val="0085390E"/>
    <w:rsid w:val="0085531E"/>
    <w:rsid w:val="00856593"/>
    <w:rsid w:val="0085673D"/>
    <w:rsid w:val="00860416"/>
    <w:rsid w:val="008613BE"/>
    <w:rsid w:val="00863659"/>
    <w:rsid w:val="00865275"/>
    <w:rsid w:val="008652C4"/>
    <w:rsid w:val="00865C4D"/>
    <w:rsid w:val="00865D75"/>
    <w:rsid w:val="00867FFC"/>
    <w:rsid w:val="0087094D"/>
    <w:rsid w:val="00870E9D"/>
    <w:rsid w:val="0087140B"/>
    <w:rsid w:val="00871A48"/>
    <w:rsid w:val="0087363E"/>
    <w:rsid w:val="00873AC5"/>
    <w:rsid w:val="0087516D"/>
    <w:rsid w:val="00875344"/>
    <w:rsid w:val="00875C64"/>
    <w:rsid w:val="00875F42"/>
    <w:rsid w:val="00877664"/>
    <w:rsid w:val="008777D3"/>
    <w:rsid w:val="00880613"/>
    <w:rsid w:val="00880664"/>
    <w:rsid w:val="00880E69"/>
    <w:rsid w:val="00880E94"/>
    <w:rsid w:val="00880FA7"/>
    <w:rsid w:val="00881192"/>
    <w:rsid w:val="008813BA"/>
    <w:rsid w:val="008822DE"/>
    <w:rsid w:val="00883476"/>
    <w:rsid w:val="00885EBA"/>
    <w:rsid w:val="00885EE8"/>
    <w:rsid w:val="00886470"/>
    <w:rsid w:val="00886669"/>
    <w:rsid w:val="00886C9A"/>
    <w:rsid w:val="00886DAE"/>
    <w:rsid w:val="00887AD9"/>
    <w:rsid w:val="00890AF3"/>
    <w:rsid w:val="00891B35"/>
    <w:rsid w:val="00891DD3"/>
    <w:rsid w:val="0089223E"/>
    <w:rsid w:val="00892953"/>
    <w:rsid w:val="0089408A"/>
    <w:rsid w:val="00895B7D"/>
    <w:rsid w:val="008A103C"/>
    <w:rsid w:val="008A2DC7"/>
    <w:rsid w:val="008A3D4F"/>
    <w:rsid w:val="008A48E9"/>
    <w:rsid w:val="008A63AC"/>
    <w:rsid w:val="008B2331"/>
    <w:rsid w:val="008B29B9"/>
    <w:rsid w:val="008B2CB3"/>
    <w:rsid w:val="008B5313"/>
    <w:rsid w:val="008B70B3"/>
    <w:rsid w:val="008B7ADD"/>
    <w:rsid w:val="008C03C3"/>
    <w:rsid w:val="008C0B23"/>
    <w:rsid w:val="008C2E0D"/>
    <w:rsid w:val="008C4883"/>
    <w:rsid w:val="008C4DF7"/>
    <w:rsid w:val="008C54F5"/>
    <w:rsid w:val="008C5D36"/>
    <w:rsid w:val="008D220C"/>
    <w:rsid w:val="008D237E"/>
    <w:rsid w:val="008D3765"/>
    <w:rsid w:val="008D6131"/>
    <w:rsid w:val="008D6C57"/>
    <w:rsid w:val="008D7752"/>
    <w:rsid w:val="008E2FF5"/>
    <w:rsid w:val="008E3E5B"/>
    <w:rsid w:val="008E3F0E"/>
    <w:rsid w:val="008E5171"/>
    <w:rsid w:val="008E5B29"/>
    <w:rsid w:val="008F0075"/>
    <w:rsid w:val="008F025E"/>
    <w:rsid w:val="008F0EFE"/>
    <w:rsid w:val="008F3115"/>
    <w:rsid w:val="008F32CD"/>
    <w:rsid w:val="008F4744"/>
    <w:rsid w:val="008F59C9"/>
    <w:rsid w:val="0090056E"/>
    <w:rsid w:val="00900AE8"/>
    <w:rsid w:val="00901001"/>
    <w:rsid w:val="009015AC"/>
    <w:rsid w:val="00901EE7"/>
    <w:rsid w:val="00904A88"/>
    <w:rsid w:val="00904E28"/>
    <w:rsid w:val="00905348"/>
    <w:rsid w:val="009056C7"/>
    <w:rsid w:val="009109D3"/>
    <w:rsid w:val="00911263"/>
    <w:rsid w:val="00915148"/>
    <w:rsid w:val="0091547D"/>
    <w:rsid w:val="00917000"/>
    <w:rsid w:val="00917B69"/>
    <w:rsid w:val="009200CC"/>
    <w:rsid w:val="00923E7D"/>
    <w:rsid w:val="00924CD7"/>
    <w:rsid w:val="00925006"/>
    <w:rsid w:val="00925912"/>
    <w:rsid w:val="00926D48"/>
    <w:rsid w:val="0092752C"/>
    <w:rsid w:val="009300FF"/>
    <w:rsid w:val="009322F6"/>
    <w:rsid w:val="00933A64"/>
    <w:rsid w:val="00935FD0"/>
    <w:rsid w:val="009408D4"/>
    <w:rsid w:val="00940DDE"/>
    <w:rsid w:val="00941A09"/>
    <w:rsid w:val="00942A0D"/>
    <w:rsid w:val="00942DB8"/>
    <w:rsid w:val="00944008"/>
    <w:rsid w:val="00947DB6"/>
    <w:rsid w:val="0095193E"/>
    <w:rsid w:val="00953386"/>
    <w:rsid w:val="009536F3"/>
    <w:rsid w:val="0095491D"/>
    <w:rsid w:val="009552DB"/>
    <w:rsid w:val="0095621E"/>
    <w:rsid w:val="00956957"/>
    <w:rsid w:val="009575C4"/>
    <w:rsid w:val="0096019A"/>
    <w:rsid w:val="00962EEF"/>
    <w:rsid w:val="0096303A"/>
    <w:rsid w:val="00964CA8"/>
    <w:rsid w:val="009653E7"/>
    <w:rsid w:val="00965717"/>
    <w:rsid w:val="0096614D"/>
    <w:rsid w:val="009663DD"/>
    <w:rsid w:val="00966E64"/>
    <w:rsid w:val="009707E9"/>
    <w:rsid w:val="009710D3"/>
    <w:rsid w:val="00971F83"/>
    <w:rsid w:val="00972D0A"/>
    <w:rsid w:val="00973A38"/>
    <w:rsid w:val="00974455"/>
    <w:rsid w:val="00975219"/>
    <w:rsid w:val="0097741A"/>
    <w:rsid w:val="00977A88"/>
    <w:rsid w:val="00977E1E"/>
    <w:rsid w:val="0098041D"/>
    <w:rsid w:val="00980481"/>
    <w:rsid w:val="00980B52"/>
    <w:rsid w:val="00981521"/>
    <w:rsid w:val="00981FE2"/>
    <w:rsid w:val="009828DE"/>
    <w:rsid w:val="00983F55"/>
    <w:rsid w:val="0098676C"/>
    <w:rsid w:val="009905B9"/>
    <w:rsid w:val="00991244"/>
    <w:rsid w:val="00991ED8"/>
    <w:rsid w:val="00992061"/>
    <w:rsid w:val="00992408"/>
    <w:rsid w:val="009929D9"/>
    <w:rsid w:val="00993866"/>
    <w:rsid w:val="00995A61"/>
    <w:rsid w:val="00996A9D"/>
    <w:rsid w:val="00996ABA"/>
    <w:rsid w:val="00997699"/>
    <w:rsid w:val="009A0751"/>
    <w:rsid w:val="009A1322"/>
    <w:rsid w:val="009A3619"/>
    <w:rsid w:val="009A4DAD"/>
    <w:rsid w:val="009A55C5"/>
    <w:rsid w:val="009A6FFB"/>
    <w:rsid w:val="009A73CA"/>
    <w:rsid w:val="009B1421"/>
    <w:rsid w:val="009B24F3"/>
    <w:rsid w:val="009B4DF6"/>
    <w:rsid w:val="009B67F3"/>
    <w:rsid w:val="009B705D"/>
    <w:rsid w:val="009B716B"/>
    <w:rsid w:val="009C0D65"/>
    <w:rsid w:val="009C1546"/>
    <w:rsid w:val="009C25FD"/>
    <w:rsid w:val="009C2795"/>
    <w:rsid w:val="009C311D"/>
    <w:rsid w:val="009C3751"/>
    <w:rsid w:val="009C7132"/>
    <w:rsid w:val="009C732D"/>
    <w:rsid w:val="009D04B4"/>
    <w:rsid w:val="009D0C25"/>
    <w:rsid w:val="009D1390"/>
    <w:rsid w:val="009D2D55"/>
    <w:rsid w:val="009D3986"/>
    <w:rsid w:val="009D3F94"/>
    <w:rsid w:val="009D53FF"/>
    <w:rsid w:val="009D6452"/>
    <w:rsid w:val="009D6ACD"/>
    <w:rsid w:val="009D6AF0"/>
    <w:rsid w:val="009D7EEB"/>
    <w:rsid w:val="009E0ACE"/>
    <w:rsid w:val="009E0FA9"/>
    <w:rsid w:val="009E2263"/>
    <w:rsid w:val="009E3DB0"/>
    <w:rsid w:val="009E46E1"/>
    <w:rsid w:val="009E7BE4"/>
    <w:rsid w:val="009E7BFB"/>
    <w:rsid w:val="009E7E64"/>
    <w:rsid w:val="009F13AF"/>
    <w:rsid w:val="009F224E"/>
    <w:rsid w:val="009F2601"/>
    <w:rsid w:val="009F302B"/>
    <w:rsid w:val="009F7DC7"/>
    <w:rsid w:val="00A00EA6"/>
    <w:rsid w:val="00A01436"/>
    <w:rsid w:val="00A01AD3"/>
    <w:rsid w:val="00A0392E"/>
    <w:rsid w:val="00A03BC2"/>
    <w:rsid w:val="00A04A1D"/>
    <w:rsid w:val="00A06238"/>
    <w:rsid w:val="00A077BD"/>
    <w:rsid w:val="00A07A1D"/>
    <w:rsid w:val="00A1058D"/>
    <w:rsid w:val="00A10F1D"/>
    <w:rsid w:val="00A137E0"/>
    <w:rsid w:val="00A137FD"/>
    <w:rsid w:val="00A13D37"/>
    <w:rsid w:val="00A14969"/>
    <w:rsid w:val="00A212CF"/>
    <w:rsid w:val="00A21D51"/>
    <w:rsid w:val="00A22160"/>
    <w:rsid w:val="00A2295E"/>
    <w:rsid w:val="00A22E64"/>
    <w:rsid w:val="00A23D0F"/>
    <w:rsid w:val="00A23ED7"/>
    <w:rsid w:val="00A24DC5"/>
    <w:rsid w:val="00A2557A"/>
    <w:rsid w:val="00A31F9B"/>
    <w:rsid w:val="00A3457D"/>
    <w:rsid w:val="00A36519"/>
    <w:rsid w:val="00A37C91"/>
    <w:rsid w:val="00A4070E"/>
    <w:rsid w:val="00A40967"/>
    <w:rsid w:val="00A431A9"/>
    <w:rsid w:val="00A43BF8"/>
    <w:rsid w:val="00A443C3"/>
    <w:rsid w:val="00A45107"/>
    <w:rsid w:val="00A4525F"/>
    <w:rsid w:val="00A503E6"/>
    <w:rsid w:val="00A51402"/>
    <w:rsid w:val="00A51BF1"/>
    <w:rsid w:val="00A53EDD"/>
    <w:rsid w:val="00A551B0"/>
    <w:rsid w:val="00A553DA"/>
    <w:rsid w:val="00A5543F"/>
    <w:rsid w:val="00A578C2"/>
    <w:rsid w:val="00A6176E"/>
    <w:rsid w:val="00A62763"/>
    <w:rsid w:val="00A63C2C"/>
    <w:rsid w:val="00A63FC2"/>
    <w:rsid w:val="00A64A8B"/>
    <w:rsid w:val="00A66D79"/>
    <w:rsid w:val="00A66E5B"/>
    <w:rsid w:val="00A67A98"/>
    <w:rsid w:val="00A7087C"/>
    <w:rsid w:val="00A74027"/>
    <w:rsid w:val="00A74100"/>
    <w:rsid w:val="00A81413"/>
    <w:rsid w:val="00A82C3F"/>
    <w:rsid w:val="00A83122"/>
    <w:rsid w:val="00A83327"/>
    <w:rsid w:val="00A83AA8"/>
    <w:rsid w:val="00A840E4"/>
    <w:rsid w:val="00A90317"/>
    <w:rsid w:val="00A90808"/>
    <w:rsid w:val="00A90F79"/>
    <w:rsid w:val="00A91D09"/>
    <w:rsid w:val="00A92111"/>
    <w:rsid w:val="00A932FE"/>
    <w:rsid w:val="00A94C56"/>
    <w:rsid w:val="00A96CD8"/>
    <w:rsid w:val="00AA0B96"/>
    <w:rsid w:val="00AA24F0"/>
    <w:rsid w:val="00AA2A86"/>
    <w:rsid w:val="00AA3A4C"/>
    <w:rsid w:val="00AA5715"/>
    <w:rsid w:val="00AB1D0D"/>
    <w:rsid w:val="00AB1FB2"/>
    <w:rsid w:val="00AB2B96"/>
    <w:rsid w:val="00AB2C3E"/>
    <w:rsid w:val="00AB2FEB"/>
    <w:rsid w:val="00AB3BDC"/>
    <w:rsid w:val="00AB3D48"/>
    <w:rsid w:val="00AB4097"/>
    <w:rsid w:val="00AB45BA"/>
    <w:rsid w:val="00AB4D7F"/>
    <w:rsid w:val="00AB54AD"/>
    <w:rsid w:val="00AB60C4"/>
    <w:rsid w:val="00AB78DE"/>
    <w:rsid w:val="00AB7C15"/>
    <w:rsid w:val="00AC0948"/>
    <w:rsid w:val="00AC1540"/>
    <w:rsid w:val="00AC3470"/>
    <w:rsid w:val="00AC53CC"/>
    <w:rsid w:val="00AC5E76"/>
    <w:rsid w:val="00AD1150"/>
    <w:rsid w:val="00AD176C"/>
    <w:rsid w:val="00AD2588"/>
    <w:rsid w:val="00AD2601"/>
    <w:rsid w:val="00AD32E7"/>
    <w:rsid w:val="00AD3B8D"/>
    <w:rsid w:val="00AD4BB5"/>
    <w:rsid w:val="00AD6ACB"/>
    <w:rsid w:val="00AE12C0"/>
    <w:rsid w:val="00AE74E0"/>
    <w:rsid w:val="00AF2CB5"/>
    <w:rsid w:val="00AF3030"/>
    <w:rsid w:val="00AF3150"/>
    <w:rsid w:val="00AF331B"/>
    <w:rsid w:val="00AF38F3"/>
    <w:rsid w:val="00AF3A0E"/>
    <w:rsid w:val="00AF46E4"/>
    <w:rsid w:val="00AF5889"/>
    <w:rsid w:val="00AF6694"/>
    <w:rsid w:val="00B02EE1"/>
    <w:rsid w:val="00B0350D"/>
    <w:rsid w:val="00B04829"/>
    <w:rsid w:val="00B06148"/>
    <w:rsid w:val="00B06F26"/>
    <w:rsid w:val="00B07D39"/>
    <w:rsid w:val="00B13B1E"/>
    <w:rsid w:val="00B1463E"/>
    <w:rsid w:val="00B147D5"/>
    <w:rsid w:val="00B14E26"/>
    <w:rsid w:val="00B17592"/>
    <w:rsid w:val="00B2164E"/>
    <w:rsid w:val="00B26AFE"/>
    <w:rsid w:val="00B27B56"/>
    <w:rsid w:val="00B312FF"/>
    <w:rsid w:val="00B31F40"/>
    <w:rsid w:val="00B322B7"/>
    <w:rsid w:val="00B338F3"/>
    <w:rsid w:val="00B33B1E"/>
    <w:rsid w:val="00B352A4"/>
    <w:rsid w:val="00B36FC1"/>
    <w:rsid w:val="00B409D9"/>
    <w:rsid w:val="00B422B5"/>
    <w:rsid w:val="00B42910"/>
    <w:rsid w:val="00B43669"/>
    <w:rsid w:val="00B44CA2"/>
    <w:rsid w:val="00B45890"/>
    <w:rsid w:val="00B462A8"/>
    <w:rsid w:val="00B507F3"/>
    <w:rsid w:val="00B50883"/>
    <w:rsid w:val="00B508B1"/>
    <w:rsid w:val="00B5194D"/>
    <w:rsid w:val="00B520A0"/>
    <w:rsid w:val="00B52E57"/>
    <w:rsid w:val="00B551F4"/>
    <w:rsid w:val="00B607CD"/>
    <w:rsid w:val="00B60E29"/>
    <w:rsid w:val="00B629C9"/>
    <w:rsid w:val="00B63EBE"/>
    <w:rsid w:val="00B642F5"/>
    <w:rsid w:val="00B64545"/>
    <w:rsid w:val="00B666C1"/>
    <w:rsid w:val="00B6785E"/>
    <w:rsid w:val="00B71F98"/>
    <w:rsid w:val="00B732AE"/>
    <w:rsid w:val="00B74647"/>
    <w:rsid w:val="00B76649"/>
    <w:rsid w:val="00B806F5"/>
    <w:rsid w:val="00B80B25"/>
    <w:rsid w:val="00B81348"/>
    <w:rsid w:val="00B817D0"/>
    <w:rsid w:val="00B81BE1"/>
    <w:rsid w:val="00B81DE9"/>
    <w:rsid w:val="00B8351E"/>
    <w:rsid w:val="00B846CB"/>
    <w:rsid w:val="00B85105"/>
    <w:rsid w:val="00B8526D"/>
    <w:rsid w:val="00B85A39"/>
    <w:rsid w:val="00B907E6"/>
    <w:rsid w:val="00B90948"/>
    <w:rsid w:val="00B9156C"/>
    <w:rsid w:val="00B92D79"/>
    <w:rsid w:val="00B92E2B"/>
    <w:rsid w:val="00B93A22"/>
    <w:rsid w:val="00B96ECC"/>
    <w:rsid w:val="00BA1417"/>
    <w:rsid w:val="00BA30DC"/>
    <w:rsid w:val="00BA5BEB"/>
    <w:rsid w:val="00BA5FA2"/>
    <w:rsid w:val="00BA73B4"/>
    <w:rsid w:val="00BB1B23"/>
    <w:rsid w:val="00BB291A"/>
    <w:rsid w:val="00BB2E67"/>
    <w:rsid w:val="00BB4F6F"/>
    <w:rsid w:val="00BB6C65"/>
    <w:rsid w:val="00BB7366"/>
    <w:rsid w:val="00BB7ED3"/>
    <w:rsid w:val="00BC07D3"/>
    <w:rsid w:val="00BC11AC"/>
    <w:rsid w:val="00BC1229"/>
    <w:rsid w:val="00BC26D4"/>
    <w:rsid w:val="00BC29C2"/>
    <w:rsid w:val="00BC5262"/>
    <w:rsid w:val="00BC5663"/>
    <w:rsid w:val="00BC6888"/>
    <w:rsid w:val="00BD0D3A"/>
    <w:rsid w:val="00BD0DBA"/>
    <w:rsid w:val="00BD3C61"/>
    <w:rsid w:val="00BD46F3"/>
    <w:rsid w:val="00BD4B7C"/>
    <w:rsid w:val="00BD75AD"/>
    <w:rsid w:val="00BE292B"/>
    <w:rsid w:val="00BE2D29"/>
    <w:rsid w:val="00BE3125"/>
    <w:rsid w:val="00BE4254"/>
    <w:rsid w:val="00BF04B4"/>
    <w:rsid w:val="00BF0F5B"/>
    <w:rsid w:val="00BF16BA"/>
    <w:rsid w:val="00BF3C8A"/>
    <w:rsid w:val="00BF4AFD"/>
    <w:rsid w:val="00BF5388"/>
    <w:rsid w:val="00C00589"/>
    <w:rsid w:val="00C02CE4"/>
    <w:rsid w:val="00C031E9"/>
    <w:rsid w:val="00C04FDB"/>
    <w:rsid w:val="00C05196"/>
    <w:rsid w:val="00C05880"/>
    <w:rsid w:val="00C064A3"/>
    <w:rsid w:val="00C06FF6"/>
    <w:rsid w:val="00C07FD5"/>
    <w:rsid w:val="00C10385"/>
    <w:rsid w:val="00C10472"/>
    <w:rsid w:val="00C10BD4"/>
    <w:rsid w:val="00C10E9F"/>
    <w:rsid w:val="00C12CD4"/>
    <w:rsid w:val="00C13A29"/>
    <w:rsid w:val="00C13A65"/>
    <w:rsid w:val="00C16661"/>
    <w:rsid w:val="00C200E5"/>
    <w:rsid w:val="00C20DA4"/>
    <w:rsid w:val="00C20FD3"/>
    <w:rsid w:val="00C22520"/>
    <w:rsid w:val="00C22EC8"/>
    <w:rsid w:val="00C24012"/>
    <w:rsid w:val="00C24B82"/>
    <w:rsid w:val="00C25301"/>
    <w:rsid w:val="00C26A43"/>
    <w:rsid w:val="00C30820"/>
    <w:rsid w:val="00C30D3F"/>
    <w:rsid w:val="00C31DDB"/>
    <w:rsid w:val="00C31DEF"/>
    <w:rsid w:val="00C3275F"/>
    <w:rsid w:val="00C33630"/>
    <w:rsid w:val="00C40A14"/>
    <w:rsid w:val="00C40CE5"/>
    <w:rsid w:val="00C417DE"/>
    <w:rsid w:val="00C417E7"/>
    <w:rsid w:val="00C46236"/>
    <w:rsid w:val="00C46847"/>
    <w:rsid w:val="00C50834"/>
    <w:rsid w:val="00C52334"/>
    <w:rsid w:val="00C524CA"/>
    <w:rsid w:val="00C52CB8"/>
    <w:rsid w:val="00C5362D"/>
    <w:rsid w:val="00C64700"/>
    <w:rsid w:val="00C65601"/>
    <w:rsid w:val="00C67CBD"/>
    <w:rsid w:val="00C67F0F"/>
    <w:rsid w:val="00C70173"/>
    <w:rsid w:val="00C719E2"/>
    <w:rsid w:val="00C74341"/>
    <w:rsid w:val="00C755CA"/>
    <w:rsid w:val="00C769B0"/>
    <w:rsid w:val="00C81D2D"/>
    <w:rsid w:val="00C82204"/>
    <w:rsid w:val="00C822F2"/>
    <w:rsid w:val="00C833DD"/>
    <w:rsid w:val="00C83D81"/>
    <w:rsid w:val="00C8585D"/>
    <w:rsid w:val="00C8675D"/>
    <w:rsid w:val="00C90250"/>
    <w:rsid w:val="00C90636"/>
    <w:rsid w:val="00C92035"/>
    <w:rsid w:val="00C92CF4"/>
    <w:rsid w:val="00C93D08"/>
    <w:rsid w:val="00C95386"/>
    <w:rsid w:val="00C95C87"/>
    <w:rsid w:val="00C973EF"/>
    <w:rsid w:val="00C978AB"/>
    <w:rsid w:val="00C97F5D"/>
    <w:rsid w:val="00CA13DC"/>
    <w:rsid w:val="00CA1522"/>
    <w:rsid w:val="00CA32AF"/>
    <w:rsid w:val="00CB171E"/>
    <w:rsid w:val="00CB2DAD"/>
    <w:rsid w:val="00CB47DC"/>
    <w:rsid w:val="00CB5228"/>
    <w:rsid w:val="00CB52D5"/>
    <w:rsid w:val="00CB55B8"/>
    <w:rsid w:val="00CC20BC"/>
    <w:rsid w:val="00CC6476"/>
    <w:rsid w:val="00CC6E60"/>
    <w:rsid w:val="00CC7E88"/>
    <w:rsid w:val="00CD0E53"/>
    <w:rsid w:val="00CD1A01"/>
    <w:rsid w:val="00CD4963"/>
    <w:rsid w:val="00CD49F1"/>
    <w:rsid w:val="00CD4D75"/>
    <w:rsid w:val="00CD7DE0"/>
    <w:rsid w:val="00CE00C7"/>
    <w:rsid w:val="00CE1129"/>
    <w:rsid w:val="00CE1946"/>
    <w:rsid w:val="00CE1C86"/>
    <w:rsid w:val="00CE2257"/>
    <w:rsid w:val="00CE2352"/>
    <w:rsid w:val="00CE28FF"/>
    <w:rsid w:val="00CE4ADD"/>
    <w:rsid w:val="00CE7497"/>
    <w:rsid w:val="00CF28C1"/>
    <w:rsid w:val="00CF2BE7"/>
    <w:rsid w:val="00CF3B41"/>
    <w:rsid w:val="00CF4591"/>
    <w:rsid w:val="00CF4DD7"/>
    <w:rsid w:val="00CF6A2E"/>
    <w:rsid w:val="00CF707C"/>
    <w:rsid w:val="00D00605"/>
    <w:rsid w:val="00D00775"/>
    <w:rsid w:val="00D01E94"/>
    <w:rsid w:val="00D02167"/>
    <w:rsid w:val="00D0254D"/>
    <w:rsid w:val="00D02596"/>
    <w:rsid w:val="00D045C1"/>
    <w:rsid w:val="00D066DC"/>
    <w:rsid w:val="00D07650"/>
    <w:rsid w:val="00D10545"/>
    <w:rsid w:val="00D106DF"/>
    <w:rsid w:val="00D10802"/>
    <w:rsid w:val="00D10F5E"/>
    <w:rsid w:val="00D111DB"/>
    <w:rsid w:val="00D11924"/>
    <w:rsid w:val="00D11A18"/>
    <w:rsid w:val="00D12248"/>
    <w:rsid w:val="00D12B9A"/>
    <w:rsid w:val="00D14CAB"/>
    <w:rsid w:val="00D14DFD"/>
    <w:rsid w:val="00D15A43"/>
    <w:rsid w:val="00D200CA"/>
    <w:rsid w:val="00D22765"/>
    <w:rsid w:val="00D24C34"/>
    <w:rsid w:val="00D24D6E"/>
    <w:rsid w:val="00D25DB8"/>
    <w:rsid w:val="00D25FA4"/>
    <w:rsid w:val="00D262A5"/>
    <w:rsid w:val="00D27976"/>
    <w:rsid w:val="00D3039D"/>
    <w:rsid w:val="00D30848"/>
    <w:rsid w:val="00D32963"/>
    <w:rsid w:val="00D34653"/>
    <w:rsid w:val="00D355B9"/>
    <w:rsid w:val="00D35B6C"/>
    <w:rsid w:val="00D35F30"/>
    <w:rsid w:val="00D36DE8"/>
    <w:rsid w:val="00D36E86"/>
    <w:rsid w:val="00D40271"/>
    <w:rsid w:val="00D406B2"/>
    <w:rsid w:val="00D41AAA"/>
    <w:rsid w:val="00D42F32"/>
    <w:rsid w:val="00D432ED"/>
    <w:rsid w:val="00D43AEA"/>
    <w:rsid w:val="00D46C3D"/>
    <w:rsid w:val="00D47426"/>
    <w:rsid w:val="00D474C5"/>
    <w:rsid w:val="00D50690"/>
    <w:rsid w:val="00D50AAF"/>
    <w:rsid w:val="00D50E0A"/>
    <w:rsid w:val="00D5165C"/>
    <w:rsid w:val="00D53462"/>
    <w:rsid w:val="00D53E63"/>
    <w:rsid w:val="00D53FFE"/>
    <w:rsid w:val="00D550FB"/>
    <w:rsid w:val="00D57B6B"/>
    <w:rsid w:val="00D6095A"/>
    <w:rsid w:val="00D61570"/>
    <w:rsid w:val="00D616E7"/>
    <w:rsid w:val="00D617CB"/>
    <w:rsid w:val="00D63326"/>
    <w:rsid w:val="00D63F2D"/>
    <w:rsid w:val="00D65701"/>
    <w:rsid w:val="00D66896"/>
    <w:rsid w:val="00D677DF"/>
    <w:rsid w:val="00D67FCF"/>
    <w:rsid w:val="00D70A00"/>
    <w:rsid w:val="00D71BCD"/>
    <w:rsid w:val="00D73A13"/>
    <w:rsid w:val="00D73DDD"/>
    <w:rsid w:val="00D74EB0"/>
    <w:rsid w:val="00D76514"/>
    <w:rsid w:val="00D808BB"/>
    <w:rsid w:val="00D809C5"/>
    <w:rsid w:val="00D81290"/>
    <w:rsid w:val="00D81298"/>
    <w:rsid w:val="00D827DC"/>
    <w:rsid w:val="00D82A84"/>
    <w:rsid w:val="00D8358B"/>
    <w:rsid w:val="00D85D9D"/>
    <w:rsid w:val="00D85E27"/>
    <w:rsid w:val="00D872F8"/>
    <w:rsid w:val="00D90411"/>
    <w:rsid w:val="00D9115A"/>
    <w:rsid w:val="00D94723"/>
    <w:rsid w:val="00D95171"/>
    <w:rsid w:val="00D95BE2"/>
    <w:rsid w:val="00D95ECA"/>
    <w:rsid w:val="00D9676F"/>
    <w:rsid w:val="00D9696B"/>
    <w:rsid w:val="00DA0F4A"/>
    <w:rsid w:val="00DA14C7"/>
    <w:rsid w:val="00DA2DC5"/>
    <w:rsid w:val="00DA2DD4"/>
    <w:rsid w:val="00DA3553"/>
    <w:rsid w:val="00DA370F"/>
    <w:rsid w:val="00DA4714"/>
    <w:rsid w:val="00DA59DE"/>
    <w:rsid w:val="00DA76F8"/>
    <w:rsid w:val="00DB0676"/>
    <w:rsid w:val="00DB0E84"/>
    <w:rsid w:val="00DB144A"/>
    <w:rsid w:val="00DB16A9"/>
    <w:rsid w:val="00DB1BB1"/>
    <w:rsid w:val="00DB2187"/>
    <w:rsid w:val="00DB23F8"/>
    <w:rsid w:val="00DB2DAB"/>
    <w:rsid w:val="00DB3C2E"/>
    <w:rsid w:val="00DB74F1"/>
    <w:rsid w:val="00DC2BC2"/>
    <w:rsid w:val="00DC3AE5"/>
    <w:rsid w:val="00DC40F9"/>
    <w:rsid w:val="00DC4E7B"/>
    <w:rsid w:val="00DC5145"/>
    <w:rsid w:val="00DC53C2"/>
    <w:rsid w:val="00DC6CA3"/>
    <w:rsid w:val="00DD1E48"/>
    <w:rsid w:val="00DD23C1"/>
    <w:rsid w:val="00DD3CAF"/>
    <w:rsid w:val="00DD7FFC"/>
    <w:rsid w:val="00DE299D"/>
    <w:rsid w:val="00DE2B82"/>
    <w:rsid w:val="00DE2CFB"/>
    <w:rsid w:val="00DE4C59"/>
    <w:rsid w:val="00DF0618"/>
    <w:rsid w:val="00DF0B8F"/>
    <w:rsid w:val="00DF3835"/>
    <w:rsid w:val="00DF4955"/>
    <w:rsid w:val="00DF4F65"/>
    <w:rsid w:val="00DF58F9"/>
    <w:rsid w:val="00DF6C97"/>
    <w:rsid w:val="00DF6D71"/>
    <w:rsid w:val="00E007AD"/>
    <w:rsid w:val="00E025BE"/>
    <w:rsid w:val="00E047A3"/>
    <w:rsid w:val="00E059D4"/>
    <w:rsid w:val="00E07124"/>
    <w:rsid w:val="00E072B2"/>
    <w:rsid w:val="00E1129B"/>
    <w:rsid w:val="00E145DB"/>
    <w:rsid w:val="00E15010"/>
    <w:rsid w:val="00E1665B"/>
    <w:rsid w:val="00E17351"/>
    <w:rsid w:val="00E20ECC"/>
    <w:rsid w:val="00E223D6"/>
    <w:rsid w:val="00E23F34"/>
    <w:rsid w:val="00E24317"/>
    <w:rsid w:val="00E27A91"/>
    <w:rsid w:val="00E30D45"/>
    <w:rsid w:val="00E31E3C"/>
    <w:rsid w:val="00E32BCC"/>
    <w:rsid w:val="00E34A99"/>
    <w:rsid w:val="00E3584E"/>
    <w:rsid w:val="00E371B1"/>
    <w:rsid w:val="00E3753B"/>
    <w:rsid w:val="00E37E7F"/>
    <w:rsid w:val="00E41D2F"/>
    <w:rsid w:val="00E42C9D"/>
    <w:rsid w:val="00E44752"/>
    <w:rsid w:val="00E46157"/>
    <w:rsid w:val="00E513CE"/>
    <w:rsid w:val="00E526EF"/>
    <w:rsid w:val="00E5677E"/>
    <w:rsid w:val="00E56846"/>
    <w:rsid w:val="00E56DE0"/>
    <w:rsid w:val="00E605C0"/>
    <w:rsid w:val="00E608ED"/>
    <w:rsid w:val="00E61549"/>
    <w:rsid w:val="00E6335C"/>
    <w:rsid w:val="00E640C7"/>
    <w:rsid w:val="00E6532F"/>
    <w:rsid w:val="00E66E31"/>
    <w:rsid w:val="00E70014"/>
    <w:rsid w:val="00E706FB"/>
    <w:rsid w:val="00E71005"/>
    <w:rsid w:val="00E72AE6"/>
    <w:rsid w:val="00E73D32"/>
    <w:rsid w:val="00E7459D"/>
    <w:rsid w:val="00E74F15"/>
    <w:rsid w:val="00E7696F"/>
    <w:rsid w:val="00E77030"/>
    <w:rsid w:val="00E83BEE"/>
    <w:rsid w:val="00E841B0"/>
    <w:rsid w:val="00E84494"/>
    <w:rsid w:val="00E90029"/>
    <w:rsid w:val="00E9178D"/>
    <w:rsid w:val="00E917B5"/>
    <w:rsid w:val="00E93A4F"/>
    <w:rsid w:val="00E948CC"/>
    <w:rsid w:val="00E9621E"/>
    <w:rsid w:val="00E96586"/>
    <w:rsid w:val="00E97736"/>
    <w:rsid w:val="00EA15BA"/>
    <w:rsid w:val="00EA338A"/>
    <w:rsid w:val="00EA4A6F"/>
    <w:rsid w:val="00EA4F44"/>
    <w:rsid w:val="00EA7342"/>
    <w:rsid w:val="00EA7819"/>
    <w:rsid w:val="00EB046D"/>
    <w:rsid w:val="00EB0AE0"/>
    <w:rsid w:val="00EB33F6"/>
    <w:rsid w:val="00EB496E"/>
    <w:rsid w:val="00EB56B1"/>
    <w:rsid w:val="00EB5C33"/>
    <w:rsid w:val="00EB6D05"/>
    <w:rsid w:val="00EC11B5"/>
    <w:rsid w:val="00EC1C5A"/>
    <w:rsid w:val="00EC3055"/>
    <w:rsid w:val="00EC3613"/>
    <w:rsid w:val="00EC5269"/>
    <w:rsid w:val="00EC6683"/>
    <w:rsid w:val="00ED08EE"/>
    <w:rsid w:val="00ED278C"/>
    <w:rsid w:val="00ED56E9"/>
    <w:rsid w:val="00ED66FC"/>
    <w:rsid w:val="00ED6D27"/>
    <w:rsid w:val="00ED7432"/>
    <w:rsid w:val="00ED7F47"/>
    <w:rsid w:val="00EE0B12"/>
    <w:rsid w:val="00EE0C4B"/>
    <w:rsid w:val="00EE1CEC"/>
    <w:rsid w:val="00EE2291"/>
    <w:rsid w:val="00EE39AC"/>
    <w:rsid w:val="00EE5114"/>
    <w:rsid w:val="00EE56B8"/>
    <w:rsid w:val="00EE69DE"/>
    <w:rsid w:val="00EE7800"/>
    <w:rsid w:val="00EF0D5F"/>
    <w:rsid w:val="00EF21F6"/>
    <w:rsid w:val="00EF4E6D"/>
    <w:rsid w:val="00EF67A2"/>
    <w:rsid w:val="00EF69B4"/>
    <w:rsid w:val="00EF722B"/>
    <w:rsid w:val="00F00C29"/>
    <w:rsid w:val="00F01FE7"/>
    <w:rsid w:val="00F0282E"/>
    <w:rsid w:val="00F02C4D"/>
    <w:rsid w:val="00F05779"/>
    <w:rsid w:val="00F05C43"/>
    <w:rsid w:val="00F06DEA"/>
    <w:rsid w:val="00F07748"/>
    <w:rsid w:val="00F12183"/>
    <w:rsid w:val="00F12764"/>
    <w:rsid w:val="00F1353D"/>
    <w:rsid w:val="00F1367D"/>
    <w:rsid w:val="00F1413F"/>
    <w:rsid w:val="00F145BE"/>
    <w:rsid w:val="00F2066F"/>
    <w:rsid w:val="00F21A6C"/>
    <w:rsid w:val="00F2277C"/>
    <w:rsid w:val="00F22D92"/>
    <w:rsid w:val="00F233DB"/>
    <w:rsid w:val="00F24096"/>
    <w:rsid w:val="00F24F71"/>
    <w:rsid w:val="00F257EB"/>
    <w:rsid w:val="00F30124"/>
    <w:rsid w:val="00F316FB"/>
    <w:rsid w:val="00F32C14"/>
    <w:rsid w:val="00F33E02"/>
    <w:rsid w:val="00F34D29"/>
    <w:rsid w:val="00F36FF8"/>
    <w:rsid w:val="00F40F26"/>
    <w:rsid w:val="00F414D1"/>
    <w:rsid w:val="00F4203F"/>
    <w:rsid w:val="00F42E05"/>
    <w:rsid w:val="00F4455A"/>
    <w:rsid w:val="00F44E11"/>
    <w:rsid w:val="00F4622E"/>
    <w:rsid w:val="00F46FC4"/>
    <w:rsid w:val="00F47C32"/>
    <w:rsid w:val="00F517BF"/>
    <w:rsid w:val="00F523E7"/>
    <w:rsid w:val="00F52FE2"/>
    <w:rsid w:val="00F5302C"/>
    <w:rsid w:val="00F53AEE"/>
    <w:rsid w:val="00F54AA2"/>
    <w:rsid w:val="00F55EC8"/>
    <w:rsid w:val="00F62F58"/>
    <w:rsid w:val="00F631DD"/>
    <w:rsid w:val="00F65116"/>
    <w:rsid w:val="00F664AB"/>
    <w:rsid w:val="00F67AD0"/>
    <w:rsid w:val="00F707F8"/>
    <w:rsid w:val="00F71B10"/>
    <w:rsid w:val="00F71CFB"/>
    <w:rsid w:val="00F72EF0"/>
    <w:rsid w:val="00F73F0B"/>
    <w:rsid w:val="00F804BC"/>
    <w:rsid w:val="00F804E0"/>
    <w:rsid w:val="00F84B2D"/>
    <w:rsid w:val="00F86A2D"/>
    <w:rsid w:val="00F86A83"/>
    <w:rsid w:val="00F86E5F"/>
    <w:rsid w:val="00F90EEA"/>
    <w:rsid w:val="00F9316A"/>
    <w:rsid w:val="00F93F35"/>
    <w:rsid w:val="00FA4159"/>
    <w:rsid w:val="00FB14FF"/>
    <w:rsid w:val="00FB2C21"/>
    <w:rsid w:val="00FB3B10"/>
    <w:rsid w:val="00FB503F"/>
    <w:rsid w:val="00FB6A33"/>
    <w:rsid w:val="00FB7D65"/>
    <w:rsid w:val="00FC015E"/>
    <w:rsid w:val="00FC0360"/>
    <w:rsid w:val="00FC043A"/>
    <w:rsid w:val="00FC125C"/>
    <w:rsid w:val="00FC2E06"/>
    <w:rsid w:val="00FC3217"/>
    <w:rsid w:val="00FC32F5"/>
    <w:rsid w:val="00FC3815"/>
    <w:rsid w:val="00FC4070"/>
    <w:rsid w:val="00FC564D"/>
    <w:rsid w:val="00FC58B3"/>
    <w:rsid w:val="00FC7A58"/>
    <w:rsid w:val="00FD1F0D"/>
    <w:rsid w:val="00FD2807"/>
    <w:rsid w:val="00FD3A82"/>
    <w:rsid w:val="00FD48A4"/>
    <w:rsid w:val="00FD7AC9"/>
    <w:rsid w:val="00FE015B"/>
    <w:rsid w:val="00FE2C5A"/>
    <w:rsid w:val="00FE433A"/>
    <w:rsid w:val="00FE440B"/>
    <w:rsid w:val="00FE5534"/>
    <w:rsid w:val="00FE6791"/>
    <w:rsid w:val="00FE7995"/>
    <w:rsid w:val="00FE7F8A"/>
    <w:rsid w:val="00FF0725"/>
    <w:rsid w:val="00FF0EDD"/>
    <w:rsid w:val="00FF2754"/>
    <w:rsid w:val="00FF311A"/>
    <w:rsid w:val="00FF3270"/>
    <w:rsid w:val="00FF3632"/>
    <w:rsid w:val="00FF5088"/>
    <w:rsid w:val="00FF5279"/>
    <w:rsid w:val="00FF5E1E"/>
    <w:rsid w:val="00FF620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E81B5"/>
  <w15:docId w15:val="{EA24866C-A646-477F-9994-EA0A0768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16B"/>
    <w:pPr>
      <w:bidi/>
      <w:spacing w:after="200" w:line="276" w:lineRule="auto"/>
    </w:pPr>
    <w:rPr>
      <w:lang w:val="en-US" w:eastAsia="en-US" w:bidi="he-IL"/>
    </w:rPr>
  </w:style>
  <w:style w:type="paragraph" w:styleId="Heading1">
    <w:name w:val="heading 1"/>
    <w:basedOn w:val="Normal"/>
    <w:link w:val="Heading1Char"/>
    <w:uiPriority w:val="99"/>
    <w:qFormat/>
    <w:rsid w:val="00D106D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qFormat/>
    <w:rsid w:val="00725E8A"/>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9"/>
    <w:qFormat/>
    <w:rsid w:val="001B7EE8"/>
    <w:pPr>
      <w:keepNext/>
      <w:keepLines/>
      <w:spacing w:before="40" w:after="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06D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725E8A"/>
    <w:rPr>
      <w:rFonts w:ascii="Cambria" w:hAnsi="Cambria" w:cs="Times New Roman"/>
      <w:color w:val="365F91"/>
      <w:sz w:val="26"/>
      <w:szCs w:val="26"/>
    </w:rPr>
  </w:style>
  <w:style w:type="character" w:customStyle="1" w:styleId="Heading3Char">
    <w:name w:val="Heading 3 Char"/>
    <w:basedOn w:val="DefaultParagraphFont"/>
    <w:link w:val="Heading3"/>
    <w:uiPriority w:val="99"/>
    <w:locked/>
    <w:rsid w:val="001B7EE8"/>
    <w:rPr>
      <w:rFonts w:ascii="Cambria" w:hAnsi="Cambria" w:cs="Times New Roman"/>
      <w:color w:val="243F60"/>
      <w:sz w:val="24"/>
      <w:szCs w:val="24"/>
    </w:rPr>
  </w:style>
  <w:style w:type="paragraph" w:styleId="ListParagraph">
    <w:name w:val="List Paragraph"/>
    <w:basedOn w:val="Normal"/>
    <w:uiPriority w:val="99"/>
    <w:qFormat/>
    <w:rsid w:val="008C54F5"/>
    <w:pPr>
      <w:ind w:left="720"/>
      <w:contextualSpacing/>
    </w:pPr>
  </w:style>
  <w:style w:type="paragraph" w:styleId="FootnoteText">
    <w:name w:val="footnote text"/>
    <w:aliases w:val="תו תו תו תו,תו תו תו תו Char,טקסט הערות שוליים תו Char Char,Footnote Text Char Char Char Char,FA,FA Fußnotentext,Note de bas de page Car Car,טקסט הערות שוליים תו תו תו,טקסט הערות שוליים תו תו תו תו תו תו תו תו תו תו"/>
    <w:basedOn w:val="Normal"/>
    <w:link w:val="FootnoteTextChar2"/>
    <w:uiPriority w:val="99"/>
    <w:rsid w:val="00821B0B"/>
    <w:pPr>
      <w:spacing w:after="0" w:line="240" w:lineRule="auto"/>
    </w:pPr>
    <w:rPr>
      <w:sz w:val="20"/>
      <w:szCs w:val="20"/>
    </w:rPr>
  </w:style>
  <w:style w:type="character" w:customStyle="1" w:styleId="FootnoteTextChar">
    <w:name w:val="Footnote Text Char"/>
    <w:aliases w:val="תו תו תו תו Char1,תו תו תו תו Char Char,טקסט הערות שוליים תו Char Char Char,Footnote Text Char Char Char Char Char,FA Char,FA Fußnotentext Char,Note de bas de page Car Car Char,טקסט הערות שוליים תו תו תו Char"/>
    <w:basedOn w:val="DefaultParagraphFont"/>
    <w:uiPriority w:val="99"/>
    <w:semiHidden/>
    <w:rPr>
      <w:rFonts w:cs="Times New Roman"/>
      <w:sz w:val="20"/>
      <w:szCs w:val="20"/>
      <w:lang w:val="en-US" w:eastAsia="en-US" w:bidi="he-IL"/>
    </w:rPr>
  </w:style>
  <w:style w:type="character" w:customStyle="1" w:styleId="FootnoteTextChar2">
    <w:name w:val="Footnote Text Char2"/>
    <w:aliases w:val="תו תו תו תו Char2,תו תו תו תו Char Char1,טקסט הערות שוליים תו Char Char Char1,Footnote Text Char Char Char Char Char1,FA Char1,FA Fußnotentext Char1,Note de bas de page Car Car Char1,טקסט הערות שוליים תו תו תו Char1"/>
    <w:basedOn w:val="DefaultParagraphFont"/>
    <w:link w:val="FootnoteText"/>
    <w:uiPriority w:val="99"/>
    <w:locked/>
    <w:rsid w:val="00821B0B"/>
    <w:rPr>
      <w:rFonts w:cs="Times New Roman"/>
      <w:sz w:val="20"/>
      <w:szCs w:val="20"/>
    </w:rPr>
  </w:style>
  <w:style w:type="character" w:styleId="FootnoteReference">
    <w:name w:val="footnote reference"/>
    <w:aliases w:val="header 3,Footnotes refss,*Footnote Reference"/>
    <w:basedOn w:val="DefaultParagraphFont"/>
    <w:uiPriority w:val="99"/>
    <w:rsid w:val="00821B0B"/>
    <w:rPr>
      <w:rFonts w:cs="Times New Roman"/>
      <w:vertAlign w:val="superscript"/>
    </w:rPr>
  </w:style>
  <w:style w:type="paragraph" w:customStyle="1" w:styleId="Default">
    <w:name w:val="Default"/>
    <w:uiPriority w:val="99"/>
    <w:rsid w:val="00D12B9A"/>
    <w:pPr>
      <w:autoSpaceDE w:val="0"/>
      <w:autoSpaceDN w:val="0"/>
      <w:adjustRightInd w:val="0"/>
    </w:pPr>
    <w:rPr>
      <w:rFonts w:ascii="Code" w:hAnsi="Code" w:cs="Code"/>
      <w:color w:val="000000"/>
      <w:sz w:val="24"/>
      <w:szCs w:val="24"/>
      <w:lang w:val="en-US" w:eastAsia="en-US" w:bidi="he-IL"/>
    </w:rPr>
  </w:style>
  <w:style w:type="character" w:customStyle="1" w:styleId="st">
    <w:name w:val="st"/>
    <w:basedOn w:val="DefaultParagraphFont"/>
    <w:uiPriority w:val="99"/>
    <w:rsid w:val="007F6652"/>
    <w:rPr>
      <w:rFonts w:cs="Times New Roman"/>
    </w:rPr>
  </w:style>
  <w:style w:type="character" w:styleId="Emphasis">
    <w:name w:val="Emphasis"/>
    <w:basedOn w:val="DefaultParagraphFont"/>
    <w:uiPriority w:val="99"/>
    <w:qFormat/>
    <w:rsid w:val="007F6652"/>
    <w:rPr>
      <w:rFonts w:cs="Times New Roman"/>
      <w:i/>
      <w:iCs/>
    </w:rPr>
  </w:style>
  <w:style w:type="character" w:customStyle="1" w:styleId="FootnoteTextChar1">
    <w:name w:val="Footnote Text Char1"/>
    <w:aliases w:val="תו תו תו תו Char11,תו תו תו תו Char Char2,טקסט הערות שוליים תו Char Char Char2,Footnote Text Char Char Char Char Char2,Footnote Text Char Char,FA Char2,FA Fußnotentext Char2,Note de bas de page Car Car Char2"/>
    <w:uiPriority w:val="99"/>
    <w:semiHidden/>
    <w:locked/>
    <w:rsid w:val="00706254"/>
    <w:rPr>
      <w:lang w:val="en-US" w:eastAsia="en-US"/>
    </w:rPr>
  </w:style>
  <w:style w:type="character" w:customStyle="1" w:styleId="documentbody">
    <w:name w:val="documentbody"/>
    <w:basedOn w:val="DefaultParagraphFont"/>
    <w:uiPriority w:val="99"/>
    <w:rsid w:val="00B81DE9"/>
    <w:rPr>
      <w:rFonts w:cs="Times New Roman"/>
    </w:rPr>
  </w:style>
  <w:style w:type="character" w:customStyle="1" w:styleId="groupheading">
    <w:name w:val="groupheading"/>
    <w:basedOn w:val="DefaultParagraphFont"/>
    <w:uiPriority w:val="99"/>
    <w:rsid w:val="00357026"/>
    <w:rPr>
      <w:rFonts w:cs="Times New Roman"/>
    </w:rPr>
  </w:style>
  <w:style w:type="character" w:customStyle="1" w:styleId="informationalsmall">
    <w:name w:val="informationalsmall"/>
    <w:basedOn w:val="DefaultParagraphFont"/>
    <w:uiPriority w:val="99"/>
    <w:rsid w:val="00357026"/>
    <w:rPr>
      <w:rFonts w:cs="Times New Roman"/>
    </w:rPr>
  </w:style>
  <w:style w:type="paragraph" w:styleId="Header">
    <w:name w:val="header"/>
    <w:basedOn w:val="Normal"/>
    <w:link w:val="HeaderChar"/>
    <w:uiPriority w:val="99"/>
    <w:rsid w:val="00144A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44A08"/>
    <w:rPr>
      <w:rFonts w:cs="Times New Roman"/>
    </w:rPr>
  </w:style>
  <w:style w:type="paragraph" w:styleId="Footer">
    <w:name w:val="footer"/>
    <w:basedOn w:val="Normal"/>
    <w:link w:val="FooterChar"/>
    <w:uiPriority w:val="99"/>
    <w:rsid w:val="00144A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44A08"/>
    <w:rPr>
      <w:rFonts w:cs="Times New Roman"/>
    </w:rPr>
  </w:style>
  <w:style w:type="paragraph" w:styleId="Title">
    <w:name w:val="Title"/>
    <w:basedOn w:val="Normal"/>
    <w:next w:val="Normal"/>
    <w:link w:val="TitleChar"/>
    <w:uiPriority w:val="99"/>
    <w:qFormat/>
    <w:rsid w:val="00300B20"/>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uiPriority w:val="99"/>
    <w:locked/>
    <w:rsid w:val="00300B20"/>
    <w:rPr>
      <w:rFonts w:ascii="Cambria" w:hAnsi="Cambria" w:cs="Times New Roman"/>
      <w:spacing w:val="-10"/>
      <w:kern w:val="28"/>
      <w:sz w:val="56"/>
      <w:szCs w:val="56"/>
    </w:rPr>
  </w:style>
  <w:style w:type="character" w:customStyle="1" w:styleId="documentbody5">
    <w:name w:val="documentbody5"/>
    <w:uiPriority w:val="99"/>
    <w:rsid w:val="003C4812"/>
    <w:rPr>
      <w:rFonts w:ascii="Verdana" w:hAnsi="Verdana"/>
      <w:sz w:val="19"/>
    </w:rPr>
  </w:style>
  <w:style w:type="character" w:styleId="Hyperlink">
    <w:name w:val="Hyperlink"/>
    <w:basedOn w:val="DefaultParagraphFont"/>
    <w:uiPriority w:val="99"/>
    <w:rsid w:val="0076322E"/>
    <w:rPr>
      <w:rFonts w:cs="Times New Roman"/>
      <w:color w:val="0000FF"/>
      <w:u w:val="single"/>
    </w:rPr>
  </w:style>
  <w:style w:type="character" w:styleId="FollowedHyperlink">
    <w:name w:val="FollowedHyperlink"/>
    <w:basedOn w:val="DefaultParagraphFont"/>
    <w:uiPriority w:val="99"/>
    <w:semiHidden/>
    <w:rsid w:val="00F631DD"/>
    <w:rPr>
      <w:rFonts w:cs="Times New Roman"/>
      <w:color w:val="800080"/>
      <w:u w:val="single"/>
    </w:rPr>
  </w:style>
  <w:style w:type="character" w:customStyle="1" w:styleId="searchterm">
    <w:name w:val="searchterm"/>
    <w:basedOn w:val="DefaultParagraphFont"/>
    <w:uiPriority w:val="99"/>
    <w:rsid w:val="00FB503F"/>
    <w:rPr>
      <w:rFonts w:cs="Times New Roman"/>
    </w:rPr>
  </w:style>
  <w:style w:type="character" w:styleId="CommentReference">
    <w:name w:val="annotation reference"/>
    <w:basedOn w:val="DefaultParagraphFont"/>
    <w:uiPriority w:val="99"/>
    <w:semiHidden/>
    <w:rsid w:val="0061210C"/>
    <w:rPr>
      <w:rFonts w:cs="Times New Roman"/>
      <w:sz w:val="16"/>
      <w:szCs w:val="16"/>
    </w:rPr>
  </w:style>
  <w:style w:type="paragraph" w:styleId="CommentText">
    <w:name w:val="annotation text"/>
    <w:basedOn w:val="Normal"/>
    <w:link w:val="CommentTextChar"/>
    <w:uiPriority w:val="99"/>
    <w:semiHidden/>
    <w:rsid w:val="0061210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1210C"/>
    <w:rPr>
      <w:rFonts w:cs="Times New Roman"/>
      <w:sz w:val="20"/>
      <w:szCs w:val="20"/>
    </w:rPr>
  </w:style>
  <w:style w:type="paragraph" w:styleId="CommentSubject">
    <w:name w:val="annotation subject"/>
    <w:basedOn w:val="CommentText"/>
    <w:next w:val="CommentText"/>
    <w:link w:val="CommentSubjectChar"/>
    <w:uiPriority w:val="99"/>
    <w:semiHidden/>
    <w:rsid w:val="0061210C"/>
    <w:rPr>
      <w:b/>
      <w:bCs/>
    </w:rPr>
  </w:style>
  <w:style w:type="character" w:customStyle="1" w:styleId="CommentSubjectChar">
    <w:name w:val="Comment Subject Char"/>
    <w:basedOn w:val="CommentTextChar"/>
    <w:link w:val="CommentSubject"/>
    <w:uiPriority w:val="99"/>
    <w:semiHidden/>
    <w:locked/>
    <w:rsid w:val="0061210C"/>
    <w:rPr>
      <w:rFonts w:cs="Times New Roman"/>
      <w:b/>
      <w:bCs/>
      <w:sz w:val="20"/>
      <w:szCs w:val="20"/>
    </w:rPr>
  </w:style>
  <w:style w:type="paragraph" w:styleId="BalloonText">
    <w:name w:val="Balloon Text"/>
    <w:basedOn w:val="Normal"/>
    <w:link w:val="BalloonTextChar"/>
    <w:uiPriority w:val="99"/>
    <w:semiHidden/>
    <w:rsid w:val="00612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210C"/>
    <w:rPr>
      <w:rFonts w:ascii="Segoe UI" w:hAnsi="Segoe UI" w:cs="Segoe UI"/>
      <w:sz w:val="18"/>
      <w:szCs w:val="18"/>
    </w:rPr>
  </w:style>
  <w:style w:type="character" w:customStyle="1" w:styleId="maintitle">
    <w:name w:val="maintitle"/>
    <w:uiPriority w:val="99"/>
    <w:rsid w:val="002C0E62"/>
  </w:style>
  <w:style w:type="paragraph" w:styleId="BodyTextIndent">
    <w:name w:val="Body Text Indent"/>
    <w:basedOn w:val="Normal"/>
    <w:link w:val="BodyTextIndentChar"/>
    <w:uiPriority w:val="99"/>
    <w:rsid w:val="00AC5E76"/>
    <w:pPr>
      <w:bidi w:val="0"/>
      <w:spacing w:after="0" w:line="240" w:lineRule="auto"/>
      <w:ind w:left="360"/>
      <w:jc w:val="both"/>
    </w:pPr>
    <w:rPr>
      <w:rFonts w:ascii="Times New Roman" w:eastAsia="Times New Roman" w:hAnsi="Times New Roman" w:cs="Times New Roman"/>
      <w:sz w:val="24"/>
      <w:szCs w:val="24"/>
      <w:lang w:eastAsia="he-IL"/>
    </w:rPr>
  </w:style>
  <w:style w:type="character" w:customStyle="1" w:styleId="BodyTextIndentChar">
    <w:name w:val="Body Text Indent Char"/>
    <w:basedOn w:val="DefaultParagraphFont"/>
    <w:link w:val="BodyTextIndent"/>
    <w:uiPriority w:val="99"/>
    <w:locked/>
    <w:rsid w:val="00AC5E76"/>
    <w:rPr>
      <w:rFonts w:ascii="Times New Roman" w:hAnsi="Times New Roman" w:cs="Times New Roman"/>
      <w:sz w:val="24"/>
      <w:szCs w:val="24"/>
      <w:lang w:eastAsia="he-IL" w:bidi="he-IL"/>
    </w:rPr>
  </w:style>
  <w:style w:type="character" w:customStyle="1" w:styleId="highlight">
    <w:name w:val="highlight"/>
    <w:basedOn w:val="DefaultParagraphFont"/>
    <w:uiPriority w:val="99"/>
    <w:rsid w:val="00694CB9"/>
    <w:rPr>
      <w:rFonts w:cs="Times New Roman"/>
    </w:rPr>
  </w:style>
  <w:style w:type="character" w:customStyle="1" w:styleId="alt">
    <w:name w:val="alt"/>
    <w:basedOn w:val="DefaultParagraphFont"/>
    <w:uiPriority w:val="99"/>
    <w:rsid w:val="00725E8A"/>
    <w:rPr>
      <w:rFonts w:cs="Times New Roman"/>
    </w:rPr>
  </w:style>
  <w:style w:type="character" w:customStyle="1" w:styleId="documentbody1">
    <w:name w:val="documentbody1"/>
    <w:basedOn w:val="DefaultParagraphFont"/>
    <w:uiPriority w:val="99"/>
    <w:rsid w:val="00CB171E"/>
    <w:rPr>
      <w:rFonts w:ascii="Verdana" w:hAnsi="Verdana" w:cs="Times New Roman"/>
      <w:sz w:val="19"/>
      <w:szCs w:val="19"/>
    </w:rPr>
  </w:style>
  <w:style w:type="character" w:customStyle="1" w:styleId="a-size-large">
    <w:name w:val="a-size-large"/>
    <w:basedOn w:val="DefaultParagraphFont"/>
    <w:uiPriority w:val="99"/>
    <w:rsid w:val="006566D8"/>
    <w:rPr>
      <w:rFonts w:cs="Times New Roman"/>
    </w:rPr>
  </w:style>
  <w:style w:type="character" w:customStyle="1" w:styleId="citetitle">
    <w:name w:val="cite_title"/>
    <w:basedOn w:val="DefaultParagraphFont"/>
    <w:uiPriority w:val="99"/>
    <w:rsid w:val="00A83AA8"/>
    <w:rPr>
      <w:rFonts w:cs="Times New Roman"/>
    </w:rPr>
  </w:style>
  <w:style w:type="character" w:customStyle="1" w:styleId="ptext-">
    <w:name w:val="ptext-"/>
    <w:basedOn w:val="DefaultParagraphFont"/>
    <w:uiPriority w:val="99"/>
    <w:rsid w:val="00261B2B"/>
    <w:rPr>
      <w:rFonts w:cs="Times New Roman"/>
    </w:rPr>
  </w:style>
  <w:style w:type="paragraph" w:styleId="HTMLPreformatted">
    <w:name w:val="HTML Preformatted"/>
    <w:basedOn w:val="Normal"/>
    <w:link w:val="HTMLPreformattedChar"/>
    <w:uiPriority w:val="99"/>
    <w:rsid w:val="00024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0245DD"/>
    <w:rPr>
      <w:rFonts w:ascii="Courier New" w:hAnsi="Courier New" w:cs="Courier New"/>
      <w:sz w:val="20"/>
      <w:szCs w:val="20"/>
    </w:rPr>
  </w:style>
  <w:style w:type="character" w:customStyle="1" w:styleId="apple-converted-space">
    <w:name w:val="apple-converted-space"/>
    <w:basedOn w:val="DefaultParagraphFont"/>
    <w:uiPriority w:val="99"/>
    <w:rsid w:val="006D08BD"/>
    <w:rPr>
      <w:rFonts w:cs="Times New Roman"/>
    </w:rPr>
  </w:style>
  <w:style w:type="paragraph" w:styleId="ListBullet">
    <w:name w:val="List Bullet"/>
    <w:basedOn w:val="Normal"/>
    <w:uiPriority w:val="99"/>
    <w:rsid w:val="003118B5"/>
    <w:pPr>
      <w:numPr>
        <w:numId w:val="14"/>
      </w:numPr>
      <w:tabs>
        <w:tab w:val="num" w:pos="360"/>
      </w:tabs>
      <w:ind w:left="360"/>
      <w:contextualSpacing/>
    </w:pPr>
  </w:style>
  <w:style w:type="character" w:customStyle="1" w:styleId="smallcaps">
    <w:name w:val="smallcaps"/>
    <w:basedOn w:val="DefaultParagraphFont"/>
    <w:uiPriority w:val="99"/>
    <w:rsid w:val="009C31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8603">
      <w:bodyDiv w:val="1"/>
      <w:marLeft w:val="0"/>
      <w:marRight w:val="0"/>
      <w:marTop w:val="0"/>
      <w:marBottom w:val="0"/>
      <w:divBdr>
        <w:top w:val="none" w:sz="0" w:space="0" w:color="auto"/>
        <w:left w:val="none" w:sz="0" w:space="0" w:color="auto"/>
        <w:bottom w:val="none" w:sz="0" w:space="0" w:color="auto"/>
        <w:right w:val="none" w:sz="0" w:space="0" w:color="auto"/>
      </w:divBdr>
    </w:div>
    <w:div w:id="511800634">
      <w:marLeft w:val="0"/>
      <w:marRight w:val="0"/>
      <w:marTop w:val="0"/>
      <w:marBottom w:val="0"/>
      <w:divBdr>
        <w:top w:val="none" w:sz="0" w:space="0" w:color="auto"/>
        <w:left w:val="none" w:sz="0" w:space="0" w:color="auto"/>
        <w:bottom w:val="none" w:sz="0" w:space="0" w:color="auto"/>
        <w:right w:val="none" w:sz="0" w:space="0" w:color="auto"/>
      </w:divBdr>
    </w:div>
    <w:div w:id="511800645">
      <w:marLeft w:val="0"/>
      <w:marRight w:val="0"/>
      <w:marTop w:val="0"/>
      <w:marBottom w:val="0"/>
      <w:divBdr>
        <w:top w:val="none" w:sz="0" w:space="0" w:color="auto"/>
        <w:left w:val="none" w:sz="0" w:space="0" w:color="auto"/>
        <w:bottom w:val="none" w:sz="0" w:space="0" w:color="auto"/>
        <w:right w:val="none" w:sz="0" w:space="0" w:color="auto"/>
      </w:divBdr>
    </w:div>
    <w:div w:id="511800648">
      <w:marLeft w:val="0"/>
      <w:marRight w:val="0"/>
      <w:marTop w:val="0"/>
      <w:marBottom w:val="0"/>
      <w:divBdr>
        <w:top w:val="none" w:sz="0" w:space="0" w:color="auto"/>
        <w:left w:val="none" w:sz="0" w:space="0" w:color="auto"/>
        <w:bottom w:val="none" w:sz="0" w:space="0" w:color="auto"/>
        <w:right w:val="none" w:sz="0" w:space="0" w:color="auto"/>
      </w:divBdr>
    </w:div>
    <w:div w:id="511800649">
      <w:marLeft w:val="0"/>
      <w:marRight w:val="0"/>
      <w:marTop w:val="0"/>
      <w:marBottom w:val="0"/>
      <w:divBdr>
        <w:top w:val="none" w:sz="0" w:space="0" w:color="auto"/>
        <w:left w:val="none" w:sz="0" w:space="0" w:color="auto"/>
        <w:bottom w:val="none" w:sz="0" w:space="0" w:color="auto"/>
        <w:right w:val="none" w:sz="0" w:space="0" w:color="auto"/>
      </w:divBdr>
      <w:divsChild>
        <w:div w:id="511800718">
          <w:marLeft w:val="0"/>
          <w:marRight w:val="0"/>
          <w:marTop w:val="0"/>
          <w:marBottom w:val="0"/>
          <w:divBdr>
            <w:top w:val="none" w:sz="0" w:space="0" w:color="auto"/>
            <w:left w:val="none" w:sz="0" w:space="0" w:color="auto"/>
            <w:bottom w:val="none" w:sz="0" w:space="0" w:color="auto"/>
            <w:right w:val="none" w:sz="0" w:space="0" w:color="auto"/>
          </w:divBdr>
        </w:div>
        <w:div w:id="511800800">
          <w:marLeft w:val="0"/>
          <w:marRight w:val="0"/>
          <w:marTop w:val="0"/>
          <w:marBottom w:val="0"/>
          <w:divBdr>
            <w:top w:val="none" w:sz="0" w:space="0" w:color="auto"/>
            <w:left w:val="none" w:sz="0" w:space="0" w:color="auto"/>
            <w:bottom w:val="none" w:sz="0" w:space="0" w:color="auto"/>
            <w:right w:val="none" w:sz="0" w:space="0" w:color="auto"/>
          </w:divBdr>
        </w:div>
      </w:divsChild>
    </w:div>
    <w:div w:id="511800654">
      <w:marLeft w:val="0"/>
      <w:marRight w:val="0"/>
      <w:marTop w:val="0"/>
      <w:marBottom w:val="0"/>
      <w:divBdr>
        <w:top w:val="none" w:sz="0" w:space="0" w:color="auto"/>
        <w:left w:val="none" w:sz="0" w:space="0" w:color="auto"/>
        <w:bottom w:val="none" w:sz="0" w:space="0" w:color="auto"/>
        <w:right w:val="none" w:sz="0" w:space="0" w:color="auto"/>
      </w:divBdr>
    </w:div>
    <w:div w:id="511800660">
      <w:marLeft w:val="0"/>
      <w:marRight w:val="0"/>
      <w:marTop w:val="0"/>
      <w:marBottom w:val="0"/>
      <w:divBdr>
        <w:top w:val="none" w:sz="0" w:space="0" w:color="auto"/>
        <w:left w:val="none" w:sz="0" w:space="0" w:color="auto"/>
        <w:bottom w:val="none" w:sz="0" w:space="0" w:color="auto"/>
        <w:right w:val="none" w:sz="0" w:space="0" w:color="auto"/>
      </w:divBdr>
      <w:divsChild>
        <w:div w:id="511800664">
          <w:marLeft w:val="0"/>
          <w:marRight w:val="0"/>
          <w:marTop w:val="0"/>
          <w:marBottom w:val="0"/>
          <w:divBdr>
            <w:top w:val="none" w:sz="0" w:space="0" w:color="auto"/>
            <w:left w:val="none" w:sz="0" w:space="0" w:color="auto"/>
            <w:bottom w:val="none" w:sz="0" w:space="0" w:color="auto"/>
            <w:right w:val="none" w:sz="0" w:space="0" w:color="auto"/>
          </w:divBdr>
        </w:div>
        <w:div w:id="511800803">
          <w:marLeft w:val="0"/>
          <w:marRight w:val="0"/>
          <w:marTop w:val="0"/>
          <w:marBottom w:val="0"/>
          <w:divBdr>
            <w:top w:val="none" w:sz="0" w:space="0" w:color="auto"/>
            <w:left w:val="none" w:sz="0" w:space="0" w:color="auto"/>
            <w:bottom w:val="none" w:sz="0" w:space="0" w:color="auto"/>
            <w:right w:val="none" w:sz="0" w:space="0" w:color="auto"/>
          </w:divBdr>
        </w:div>
        <w:div w:id="511800831">
          <w:marLeft w:val="0"/>
          <w:marRight w:val="0"/>
          <w:marTop w:val="0"/>
          <w:marBottom w:val="0"/>
          <w:divBdr>
            <w:top w:val="none" w:sz="0" w:space="0" w:color="auto"/>
            <w:left w:val="none" w:sz="0" w:space="0" w:color="auto"/>
            <w:bottom w:val="none" w:sz="0" w:space="0" w:color="auto"/>
            <w:right w:val="none" w:sz="0" w:space="0" w:color="auto"/>
          </w:divBdr>
        </w:div>
      </w:divsChild>
    </w:div>
    <w:div w:id="511800662">
      <w:marLeft w:val="0"/>
      <w:marRight w:val="0"/>
      <w:marTop w:val="0"/>
      <w:marBottom w:val="0"/>
      <w:divBdr>
        <w:top w:val="none" w:sz="0" w:space="0" w:color="auto"/>
        <w:left w:val="none" w:sz="0" w:space="0" w:color="auto"/>
        <w:bottom w:val="none" w:sz="0" w:space="0" w:color="auto"/>
        <w:right w:val="none" w:sz="0" w:space="0" w:color="auto"/>
      </w:divBdr>
    </w:div>
    <w:div w:id="511800667">
      <w:marLeft w:val="0"/>
      <w:marRight w:val="0"/>
      <w:marTop w:val="0"/>
      <w:marBottom w:val="0"/>
      <w:divBdr>
        <w:top w:val="none" w:sz="0" w:space="0" w:color="auto"/>
        <w:left w:val="none" w:sz="0" w:space="0" w:color="auto"/>
        <w:bottom w:val="none" w:sz="0" w:space="0" w:color="auto"/>
        <w:right w:val="none" w:sz="0" w:space="0" w:color="auto"/>
      </w:divBdr>
    </w:div>
    <w:div w:id="511800669">
      <w:marLeft w:val="0"/>
      <w:marRight w:val="0"/>
      <w:marTop w:val="0"/>
      <w:marBottom w:val="0"/>
      <w:divBdr>
        <w:top w:val="none" w:sz="0" w:space="0" w:color="auto"/>
        <w:left w:val="none" w:sz="0" w:space="0" w:color="auto"/>
        <w:bottom w:val="none" w:sz="0" w:space="0" w:color="auto"/>
        <w:right w:val="none" w:sz="0" w:space="0" w:color="auto"/>
      </w:divBdr>
    </w:div>
    <w:div w:id="511800680">
      <w:marLeft w:val="0"/>
      <w:marRight w:val="0"/>
      <w:marTop w:val="0"/>
      <w:marBottom w:val="0"/>
      <w:divBdr>
        <w:top w:val="none" w:sz="0" w:space="0" w:color="auto"/>
        <w:left w:val="none" w:sz="0" w:space="0" w:color="auto"/>
        <w:bottom w:val="none" w:sz="0" w:space="0" w:color="auto"/>
        <w:right w:val="none" w:sz="0" w:space="0" w:color="auto"/>
      </w:divBdr>
    </w:div>
    <w:div w:id="511800683">
      <w:marLeft w:val="0"/>
      <w:marRight w:val="0"/>
      <w:marTop w:val="0"/>
      <w:marBottom w:val="0"/>
      <w:divBdr>
        <w:top w:val="none" w:sz="0" w:space="0" w:color="auto"/>
        <w:left w:val="none" w:sz="0" w:space="0" w:color="auto"/>
        <w:bottom w:val="none" w:sz="0" w:space="0" w:color="auto"/>
        <w:right w:val="none" w:sz="0" w:space="0" w:color="auto"/>
      </w:divBdr>
    </w:div>
    <w:div w:id="511800685">
      <w:marLeft w:val="0"/>
      <w:marRight w:val="0"/>
      <w:marTop w:val="0"/>
      <w:marBottom w:val="0"/>
      <w:divBdr>
        <w:top w:val="none" w:sz="0" w:space="0" w:color="auto"/>
        <w:left w:val="none" w:sz="0" w:space="0" w:color="auto"/>
        <w:bottom w:val="none" w:sz="0" w:space="0" w:color="auto"/>
        <w:right w:val="none" w:sz="0" w:space="0" w:color="auto"/>
      </w:divBdr>
    </w:div>
    <w:div w:id="511800686">
      <w:marLeft w:val="0"/>
      <w:marRight w:val="0"/>
      <w:marTop w:val="0"/>
      <w:marBottom w:val="0"/>
      <w:divBdr>
        <w:top w:val="none" w:sz="0" w:space="0" w:color="auto"/>
        <w:left w:val="none" w:sz="0" w:space="0" w:color="auto"/>
        <w:bottom w:val="none" w:sz="0" w:space="0" w:color="auto"/>
        <w:right w:val="none" w:sz="0" w:space="0" w:color="auto"/>
      </w:divBdr>
    </w:div>
    <w:div w:id="511800697">
      <w:marLeft w:val="0"/>
      <w:marRight w:val="0"/>
      <w:marTop w:val="0"/>
      <w:marBottom w:val="0"/>
      <w:divBdr>
        <w:top w:val="none" w:sz="0" w:space="0" w:color="auto"/>
        <w:left w:val="none" w:sz="0" w:space="0" w:color="auto"/>
        <w:bottom w:val="none" w:sz="0" w:space="0" w:color="auto"/>
        <w:right w:val="none" w:sz="0" w:space="0" w:color="auto"/>
      </w:divBdr>
    </w:div>
    <w:div w:id="511800698">
      <w:marLeft w:val="0"/>
      <w:marRight w:val="0"/>
      <w:marTop w:val="0"/>
      <w:marBottom w:val="0"/>
      <w:divBdr>
        <w:top w:val="none" w:sz="0" w:space="0" w:color="auto"/>
        <w:left w:val="none" w:sz="0" w:space="0" w:color="auto"/>
        <w:bottom w:val="none" w:sz="0" w:space="0" w:color="auto"/>
        <w:right w:val="none" w:sz="0" w:space="0" w:color="auto"/>
      </w:divBdr>
      <w:divsChild>
        <w:div w:id="511800639">
          <w:marLeft w:val="0"/>
          <w:marRight w:val="0"/>
          <w:marTop w:val="0"/>
          <w:marBottom w:val="0"/>
          <w:divBdr>
            <w:top w:val="none" w:sz="0" w:space="0" w:color="auto"/>
            <w:left w:val="none" w:sz="0" w:space="0" w:color="auto"/>
            <w:bottom w:val="none" w:sz="0" w:space="0" w:color="auto"/>
            <w:right w:val="none" w:sz="0" w:space="0" w:color="auto"/>
          </w:divBdr>
        </w:div>
        <w:div w:id="511800656">
          <w:marLeft w:val="0"/>
          <w:marRight w:val="0"/>
          <w:marTop w:val="0"/>
          <w:marBottom w:val="0"/>
          <w:divBdr>
            <w:top w:val="none" w:sz="0" w:space="0" w:color="auto"/>
            <w:left w:val="none" w:sz="0" w:space="0" w:color="auto"/>
            <w:bottom w:val="none" w:sz="0" w:space="0" w:color="auto"/>
            <w:right w:val="none" w:sz="0" w:space="0" w:color="auto"/>
          </w:divBdr>
        </w:div>
        <w:div w:id="511800665">
          <w:marLeft w:val="0"/>
          <w:marRight w:val="0"/>
          <w:marTop w:val="0"/>
          <w:marBottom w:val="0"/>
          <w:divBdr>
            <w:top w:val="none" w:sz="0" w:space="0" w:color="auto"/>
            <w:left w:val="none" w:sz="0" w:space="0" w:color="auto"/>
            <w:bottom w:val="none" w:sz="0" w:space="0" w:color="auto"/>
            <w:right w:val="none" w:sz="0" w:space="0" w:color="auto"/>
          </w:divBdr>
        </w:div>
        <w:div w:id="511800675">
          <w:marLeft w:val="0"/>
          <w:marRight w:val="0"/>
          <w:marTop w:val="0"/>
          <w:marBottom w:val="0"/>
          <w:divBdr>
            <w:top w:val="none" w:sz="0" w:space="0" w:color="auto"/>
            <w:left w:val="none" w:sz="0" w:space="0" w:color="auto"/>
            <w:bottom w:val="none" w:sz="0" w:space="0" w:color="auto"/>
            <w:right w:val="none" w:sz="0" w:space="0" w:color="auto"/>
          </w:divBdr>
        </w:div>
        <w:div w:id="511800687">
          <w:marLeft w:val="0"/>
          <w:marRight w:val="0"/>
          <w:marTop w:val="0"/>
          <w:marBottom w:val="0"/>
          <w:divBdr>
            <w:top w:val="none" w:sz="0" w:space="0" w:color="auto"/>
            <w:left w:val="none" w:sz="0" w:space="0" w:color="auto"/>
            <w:bottom w:val="none" w:sz="0" w:space="0" w:color="auto"/>
            <w:right w:val="none" w:sz="0" w:space="0" w:color="auto"/>
          </w:divBdr>
        </w:div>
        <w:div w:id="511800691">
          <w:marLeft w:val="0"/>
          <w:marRight w:val="0"/>
          <w:marTop w:val="0"/>
          <w:marBottom w:val="0"/>
          <w:divBdr>
            <w:top w:val="none" w:sz="0" w:space="0" w:color="auto"/>
            <w:left w:val="none" w:sz="0" w:space="0" w:color="auto"/>
            <w:bottom w:val="none" w:sz="0" w:space="0" w:color="auto"/>
            <w:right w:val="none" w:sz="0" w:space="0" w:color="auto"/>
          </w:divBdr>
        </w:div>
        <w:div w:id="511800695">
          <w:marLeft w:val="0"/>
          <w:marRight w:val="0"/>
          <w:marTop w:val="0"/>
          <w:marBottom w:val="0"/>
          <w:divBdr>
            <w:top w:val="none" w:sz="0" w:space="0" w:color="auto"/>
            <w:left w:val="none" w:sz="0" w:space="0" w:color="auto"/>
            <w:bottom w:val="none" w:sz="0" w:space="0" w:color="auto"/>
            <w:right w:val="none" w:sz="0" w:space="0" w:color="auto"/>
          </w:divBdr>
        </w:div>
        <w:div w:id="511800702">
          <w:marLeft w:val="0"/>
          <w:marRight w:val="0"/>
          <w:marTop w:val="0"/>
          <w:marBottom w:val="0"/>
          <w:divBdr>
            <w:top w:val="none" w:sz="0" w:space="0" w:color="auto"/>
            <w:left w:val="none" w:sz="0" w:space="0" w:color="auto"/>
            <w:bottom w:val="none" w:sz="0" w:space="0" w:color="auto"/>
            <w:right w:val="none" w:sz="0" w:space="0" w:color="auto"/>
          </w:divBdr>
        </w:div>
        <w:div w:id="511800703">
          <w:marLeft w:val="0"/>
          <w:marRight w:val="0"/>
          <w:marTop w:val="0"/>
          <w:marBottom w:val="0"/>
          <w:divBdr>
            <w:top w:val="none" w:sz="0" w:space="0" w:color="auto"/>
            <w:left w:val="none" w:sz="0" w:space="0" w:color="auto"/>
            <w:bottom w:val="none" w:sz="0" w:space="0" w:color="auto"/>
            <w:right w:val="none" w:sz="0" w:space="0" w:color="auto"/>
          </w:divBdr>
        </w:div>
        <w:div w:id="511800704">
          <w:marLeft w:val="0"/>
          <w:marRight w:val="0"/>
          <w:marTop w:val="0"/>
          <w:marBottom w:val="0"/>
          <w:divBdr>
            <w:top w:val="none" w:sz="0" w:space="0" w:color="auto"/>
            <w:left w:val="none" w:sz="0" w:space="0" w:color="auto"/>
            <w:bottom w:val="none" w:sz="0" w:space="0" w:color="auto"/>
            <w:right w:val="none" w:sz="0" w:space="0" w:color="auto"/>
          </w:divBdr>
        </w:div>
        <w:div w:id="511800711">
          <w:marLeft w:val="0"/>
          <w:marRight w:val="0"/>
          <w:marTop w:val="0"/>
          <w:marBottom w:val="0"/>
          <w:divBdr>
            <w:top w:val="none" w:sz="0" w:space="0" w:color="auto"/>
            <w:left w:val="none" w:sz="0" w:space="0" w:color="auto"/>
            <w:bottom w:val="none" w:sz="0" w:space="0" w:color="auto"/>
            <w:right w:val="none" w:sz="0" w:space="0" w:color="auto"/>
          </w:divBdr>
        </w:div>
        <w:div w:id="511800714">
          <w:marLeft w:val="0"/>
          <w:marRight w:val="0"/>
          <w:marTop w:val="0"/>
          <w:marBottom w:val="0"/>
          <w:divBdr>
            <w:top w:val="none" w:sz="0" w:space="0" w:color="auto"/>
            <w:left w:val="none" w:sz="0" w:space="0" w:color="auto"/>
            <w:bottom w:val="none" w:sz="0" w:space="0" w:color="auto"/>
            <w:right w:val="none" w:sz="0" w:space="0" w:color="auto"/>
          </w:divBdr>
        </w:div>
        <w:div w:id="511800722">
          <w:marLeft w:val="0"/>
          <w:marRight w:val="0"/>
          <w:marTop w:val="0"/>
          <w:marBottom w:val="0"/>
          <w:divBdr>
            <w:top w:val="none" w:sz="0" w:space="0" w:color="auto"/>
            <w:left w:val="none" w:sz="0" w:space="0" w:color="auto"/>
            <w:bottom w:val="none" w:sz="0" w:space="0" w:color="auto"/>
            <w:right w:val="none" w:sz="0" w:space="0" w:color="auto"/>
          </w:divBdr>
        </w:div>
        <w:div w:id="511800731">
          <w:marLeft w:val="0"/>
          <w:marRight w:val="0"/>
          <w:marTop w:val="0"/>
          <w:marBottom w:val="0"/>
          <w:divBdr>
            <w:top w:val="none" w:sz="0" w:space="0" w:color="auto"/>
            <w:left w:val="none" w:sz="0" w:space="0" w:color="auto"/>
            <w:bottom w:val="none" w:sz="0" w:space="0" w:color="auto"/>
            <w:right w:val="none" w:sz="0" w:space="0" w:color="auto"/>
          </w:divBdr>
        </w:div>
        <w:div w:id="511800733">
          <w:marLeft w:val="0"/>
          <w:marRight w:val="0"/>
          <w:marTop w:val="0"/>
          <w:marBottom w:val="0"/>
          <w:divBdr>
            <w:top w:val="none" w:sz="0" w:space="0" w:color="auto"/>
            <w:left w:val="none" w:sz="0" w:space="0" w:color="auto"/>
            <w:bottom w:val="none" w:sz="0" w:space="0" w:color="auto"/>
            <w:right w:val="none" w:sz="0" w:space="0" w:color="auto"/>
          </w:divBdr>
        </w:div>
        <w:div w:id="511800734">
          <w:marLeft w:val="0"/>
          <w:marRight w:val="0"/>
          <w:marTop w:val="0"/>
          <w:marBottom w:val="0"/>
          <w:divBdr>
            <w:top w:val="none" w:sz="0" w:space="0" w:color="auto"/>
            <w:left w:val="none" w:sz="0" w:space="0" w:color="auto"/>
            <w:bottom w:val="none" w:sz="0" w:space="0" w:color="auto"/>
            <w:right w:val="none" w:sz="0" w:space="0" w:color="auto"/>
          </w:divBdr>
        </w:div>
        <w:div w:id="511800735">
          <w:marLeft w:val="0"/>
          <w:marRight w:val="0"/>
          <w:marTop w:val="0"/>
          <w:marBottom w:val="0"/>
          <w:divBdr>
            <w:top w:val="none" w:sz="0" w:space="0" w:color="auto"/>
            <w:left w:val="none" w:sz="0" w:space="0" w:color="auto"/>
            <w:bottom w:val="none" w:sz="0" w:space="0" w:color="auto"/>
            <w:right w:val="none" w:sz="0" w:space="0" w:color="auto"/>
          </w:divBdr>
        </w:div>
        <w:div w:id="511800740">
          <w:marLeft w:val="0"/>
          <w:marRight w:val="0"/>
          <w:marTop w:val="0"/>
          <w:marBottom w:val="0"/>
          <w:divBdr>
            <w:top w:val="none" w:sz="0" w:space="0" w:color="auto"/>
            <w:left w:val="none" w:sz="0" w:space="0" w:color="auto"/>
            <w:bottom w:val="none" w:sz="0" w:space="0" w:color="auto"/>
            <w:right w:val="none" w:sz="0" w:space="0" w:color="auto"/>
          </w:divBdr>
        </w:div>
        <w:div w:id="511800744">
          <w:marLeft w:val="0"/>
          <w:marRight w:val="0"/>
          <w:marTop w:val="0"/>
          <w:marBottom w:val="0"/>
          <w:divBdr>
            <w:top w:val="none" w:sz="0" w:space="0" w:color="auto"/>
            <w:left w:val="none" w:sz="0" w:space="0" w:color="auto"/>
            <w:bottom w:val="none" w:sz="0" w:space="0" w:color="auto"/>
            <w:right w:val="none" w:sz="0" w:space="0" w:color="auto"/>
          </w:divBdr>
        </w:div>
        <w:div w:id="511800746">
          <w:marLeft w:val="0"/>
          <w:marRight w:val="0"/>
          <w:marTop w:val="0"/>
          <w:marBottom w:val="0"/>
          <w:divBdr>
            <w:top w:val="none" w:sz="0" w:space="0" w:color="auto"/>
            <w:left w:val="none" w:sz="0" w:space="0" w:color="auto"/>
            <w:bottom w:val="none" w:sz="0" w:space="0" w:color="auto"/>
            <w:right w:val="none" w:sz="0" w:space="0" w:color="auto"/>
          </w:divBdr>
        </w:div>
        <w:div w:id="511800747">
          <w:marLeft w:val="0"/>
          <w:marRight w:val="0"/>
          <w:marTop w:val="0"/>
          <w:marBottom w:val="0"/>
          <w:divBdr>
            <w:top w:val="none" w:sz="0" w:space="0" w:color="auto"/>
            <w:left w:val="none" w:sz="0" w:space="0" w:color="auto"/>
            <w:bottom w:val="none" w:sz="0" w:space="0" w:color="auto"/>
            <w:right w:val="none" w:sz="0" w:space="0" w:color="auto"/>
          </w:divBdr>
        </w:div>
        <w:div w:id="511800753">
          <w:marLeft w:val="0"/>
          <w:marRight w:val="0"/>
          <w:marTop w:val="0"/>
          <w:marBottom w:val="0"/>
          <w:divBdr>
            <w:top w:val="none" w:sz="0" w:space="0" w:color="auto"/>
            <w:left w:val="none" w:sz="0" w:space="0" w:color="auto"/>
            <w:bottom w:val="none" w:sz="0" w:space="0" w:color="auto"/>
            <w:right w:val="none" w:sz="0" w:space="0" w:color="auto"/>
          </w:divBdr>
        </w:div>
        <w:div w:id="511800757">
          <w:marLeft w:val="0"/>
          <w:marRight w:val="0"/>
          <w:marTop w:val="0"/>
          <w:marBottom w:val="0"/>
          <w:divBdr>
            <w:top w:val="none" w:sz="0" w:space="0" w:color="auto"/>
            <w:left w:val="none" w:sz="0" w:space="0" w:color="auto"/>
            <w:bottom w:val="none" w:sz="0" w:space="0" w:color="auto"/>
            <w:right w:val="none" w:sz="0" w:space="0" w:color="auto"/>
          </w:divBdr>
        </w:div>
        <w:div w:id="511800777">
          <w:marLeft w:val="0"/>
          <w:marRight w:val="0"/>
          <w:marTop w:val="0"/>
          <w:marBottom w:val="0"/>
          <w:divBdr>
            <w:top w:val="none" w:sz="0" w:space="0" w:color="auto"/>
            <w:left w:val="none" w:sz="0" w:space="0" w:color="auto"/>
            <w:bottom w:val="none" w:sz="0" w:space="0" w:color="auto"/>
            <w:right w:val="none" w:sz="0" w:space="0" w:color="auto"/>
          </w:divBdr>
        </w:div>
        <w:div w:id="511800782">
          <w:marLeft w:val="0"/>
          <w:marRight w:val="0"/>
          <w:marTop w:val="0"/>
          <w:marBottom w:val="0"/>
          <w:divBdr>
            <w:top w:val="none" w:sz="0" w:space="0" w:color="auto"/>
            <w:left w:val="none" w:sz="0" w:space="0" w:color="auto"/>
            <w:bottom w:val="none" w:sz="0" w:space="0" w:color="auto"/>
            <w:right w:val="none" w:sz="0" w:space="0" w:color="auto"/>
          </w:divBdr>
        </w:div>
        <w:div w:id="511800786">
          <w:marLeft w:val="0"/>
          <w:marRight w:val="0"/>
          <w:marTop w:val="0"/>
          <w:marBottom w:val="0"/>
          <w:divBdr>
            <w:top w:val="none" w:sz="0" w:space="0" w:color="auto"/>
            <w:left w:val="none" w:sz="0" w:space="0" w:color="auto"/>
            <w:bottom w:val="none" w:sz="0" w:space="0" w:color="auto"/>
            <w:right w:val="none" w:sz="0" w:space="0" w:color="auto"/>
          </w:divBdr>
        </w:div>
        <w:div w:id="511800788">
          <w:marLeft w:val="0"/>
          <w:marRight w:val="0"/>
          <w:marTop w:val="0"/>
          <w:marBottom w:val="0"/>
          <w:divBdr>
            <w:top w:val="none" w:sz="0" w:space="0" w:color="auto"/>
            <w:left w:val="none" w:sz="0" w:space="0" w:color="auto"/>
            <w:bottom w:val="none" w:sz="0" w:space="0" w:color="auto"/>
            <w:right w:val="none" w:sz="0" w:space="0" w:color="auto"/>
          </w:divBdr>
        </w:div>
        <w:div w:id="511800796">
          <w:marLeft w:val="0"/>
          <w:marRight w:val="0"/>
          <w:marTop w:val="0"/>
          <w:marBottom w:val="0"/>
          <w:divBdr>
            <w:top w:val="none" w:sz="0" w:space="0" w:color="auto"/>
            <w:left w:val="none" w:sz="0" w:space="0" w:color="auto"/>
            <w:bottom w:val="none" w:sz="0" w:space="0" w:color="auto"/>
            <w:right w:val="none" w:sz="0" w:space="0" w:color="auto"/>
          </w:divBdr>
        </w:div>
        <w:div w:id="511800798">
          <w:marLeft w:val="0"/>
          <w:marRight w:val="0"/>
          <w:marTop w:val="0"/>
          <w:marBottom w:val="0"/>
          <w:divBdr>
            <w:top w:val="none" w:sz="0" w:space="0" w:color="auto"/>
            <w:left w:val="none" w:sz="0" w:space="0" w:color="auto"/>
            <w:bottom w:val="none" w:sz="0" w:space="0" w:color="auto"/>
            <w:right w:val="none" w:sz="0" w:space="0" w:color="auto"/>
          </w:divBdr>
        </w:div>
        <w:div w:id="511800807">
          <w:marLeft w:val="0"/>
          <w:marRight w:val="0"/>
          <w:marTop w:val="0"/>
          <w:marBottom w:val="0"/>
          <w:divBdr>
            <w:top w:val="none" w:sz="0" w:space="0" w:color="auto"/>
            <w:left w:val="none" w:sz="0" w:space="0" w:color="auto"/>
            <w:bottom w:val="none" w:sz="0" w:space="0" w:color="auto"/>
            <w:right w:val="none" w:sz="0" w:space="0" w:color="auto"/>
          </w:divBdr>
        </w:div>
        <w:div w:id="511800815">
          <w:marLeft w:val="0"/>
          <w:marRight w:val="0"/>
          <w:marTop w:val="0"/>
          <w:marBottom w:val="0"/>
          <w:divBdr>
            <w:top w:val="none" w:sz="0" w:space="0" w:color="auto"/>
            <w:left w:val="none" w:sz="0" w:space="0" w:color="auto"/>
            <w:bottom w:val="none" w:sz="0" w:space="0" w:color="auto"/>
            <w:right w:val="none" w:sz="0" w:space="0" w:color="auto"/>
          </w:divBdr>
        </w:div>
        <w:div w:id="511800816">
          <w:marLeft w:val="0"/>
          <w:marRight w:val="0"/>
          <w:marTop w:val="0"/>
          <w:marBottom w:val="0"/>
          <w:divBdr>
            <w:top w:val="none" w:sz="0" w:space="0" w:color="auto"/>
            <w:left w:val="none" w:sz="0" w:space="0" w:color="auto"/>
            <w:bottom w:val="none" w:sz="0" w:space="0" w:color="auto"/>
            <w:right w:val="none" w:sz="0" w:space="0" w:color="auto"/>
          </w:divBdr>
        </w:div>
        <w:div w:id="511800821">
          <w:marLeft w:val="0"/>
          <w:marRight w:val="0"/>
          <w:marTop w:val="0"/>
          <w:marBottom w:val="0"/>
          <w:divBdr>
            <w:top w:val="none" w:sz="0" w:space="0" w:color="auto"/>
            <w:left w:val="none" w:sz="0" w:space="0" w:color="auto"/>
            <w:bottom w:val="none" w:sz="0" w:space="0" w:color="auto"/>
            <w:right w:val="none" w:sz="0" w:space="0" w:color="auto"/>
          </w:divBdr>
        </w:div>
        <w:div w:id="511800823">
          <w:marLeft w:val="0"/>
          <w:marRight w:val="0"/>
          <w:marTop w:val="0"/>
          <w:marBottom w:val="0"/>
          <w:divBdr>
            <w:top w:val="none" w:sz="0" w:space="0" w:color="auto"/>
            <w:left w:val="none" w:sz="0" w:space="0" w:color="auto"/>
            <w:bottom w:val="none" w:sz="0" w:space="0" w:color="auto"/>
            <w:right w:val="none" w:sz="0" w:space="0" w:color="auto"/>
          </w:divBdr>
        </w:div>
        <w:div w:id="511800824">
          <w:marLeft w:val="0"/>
          <w:marRight w:val="0"/>
          <w:marTop w:val="0"/>
          <w:marBottom w:val="0"/>
          <w:divBdr>
            <w:top w:val="none" w:sz="0" w:space="0" w:color="auto"/>
            <w:left w:val="none" w:sz="0" w:space="0" w:color="auto"/>
            <w:bottom w:val="none" w:sz="0" w:space="0" w:color="auto"/>
            <w:right w:val="none" w:sz="0" w:space="0" w:color="auto"/>
          </w:divBdr>
        </w:div>
        <w:div w:id="511800825">
          <w:marLeft w:val="0"/>
          <w:marRight w:val="0"/>
          <w:marTop w:val="0"/>
          <w:marBottom w:val="0"/>
          <w:divBdr>
            <w:top w:val="none" w:sz="0" w:space="0" w:color="auto"/>
            <w:left w:val="none" w:sz="0" w:space="0" w:color="auto"/>
            <w:bottom w:val="none" w:sz="0" w:space="0" w:color="auto"/>
            <w:right w:val="none" w:sz="0" w:space="0" w:color="auto"/>
          </w:divBdr>
        </w:div>
        <w:div w:id="511800832">
          <w:marLeft w:val="0"/>
          <w:marRight w:val="0"/>
          <w:marTop w:val="0"/>
          <w:marBottom w:val="0"/>
          <w:divBdr>
            <w:top w:val="none" w:sz="0" w:space="0" w:color="auto"/>
            <w:left w:val="none" w:sz="0" w:space="0" w:color="auto"/>
            <w:bottom w:val="none" w:sz="0" w:space="0" w:color="auto"/>
            <w:right w:val="none" w:sz="0" w:space="0" w:color="auto"/>
          </w:divBdr>
        </w:div>
        <w:div w:id="511800839">
          <w:marLeft w:val="0"/>
          <w:marRight w:val="0"/>
          <w:marTop w:val="0"/>
          <w:marBottom w:val="0"/>
          <w:divBdr>
            <w:top w:val="none" w:sz="0" w:space="0" w:color="auto"/>
            <w:left w:val="none" w:sz="0" w:space="0" w:color="auto"/>
            <w:bottom w:val="none" w:sz="0" w:space="0" w:color="auto"/>
            <w:right w:val="none" w:sz="0" w:space="0" w:color="auto"/>
          </w:divBdr>
        </w:div>
        <w:div w:id="511800844">
          <w:marLeft w:val="0"/>
          <w:marRight w:val="0"/>
          <w:marTop w:val="0"/>
          <w:marBottom w:val="0"/>
          <w:divBdr>
            <w:top w:val="none" w:sz="0" w:space="0" w:color="auto"/>
            <w:left w:val="none" w:sz="0" w:space="0" w:color="auto"/>
            <w:bottom w:val="none" w:sz="0" w:space="0" w:color="auto"/>
            <w:right w:val="none" w:sz="0" w:space="0" w:color="auto"/>
          </w:divBdr>
        </w:div>
        <w:div w:id="511800847">
          <w:marLeft w:val="0"/>
          <w:marRight w:val="0"/>
          <w:marTop w:val="0"/>
          <w:marBottom w:val="0"/>
          <w:divBdr>
            <w:top w:val="none" w:sz="0" w:space="0" w:color="auto"/>
            <w:left w:val="none" w:sz="0" w:space="0" w:color="auto"/>
            <w:bottom w:val="none" w:sz="0" w:space="0" w:color="auto"/>
            <w:right w:val="none" w:sz="0" w:space="0" w:color="auto"/>
          </w:divBdr>
        </w:div>
        <w:div w:id="511800848">
          <w:marLeft w:val="0"/>
          <w:marRight w:val="0"/>
          <w:marTop w:val="0"/>
          <w:marBottom w:val="0"/>
          <w:divBdr>
            <w:top w:val="none" w:sz="0" w:space="0" w:color="auto"/>
            <w:left w:val="none" w:sz="0" w:space="0" w:color="auto"/>
            <w:bottom w:val="none" w:sz="0" w:space="0" w:color="auto"/>
            <w:right w:val="none" w:sz="0" w:space="0" w:color="auto"/>
          </w:divBdr>
        </w:div>
        <w:div w:id="511800850">
          <w:marLeft w:val="0"/>
          <w:marRight w:val="0"/>
          <w:marTop w:val="0"/>
          <w:marBottom w:val="0"/>
          <w:divBdr>
            <w:top w:val="none" w:sz="0" w:space="0" w:color="auto"/>
            <w:left w:val="none" w:sz="0" w:space="0" w:color="auto"/>
            <w:bottom w:val="none" w:sz="0" w:space="0" w:color="auto"/>
            <w:right w:val="none" w:sz="0" w:space="0" w:color="auto"/>
          </w:divBdr>
        </w:div>
        <w:div w:id="511800851">
          <w:marLeft w:val="0"/>
          <w:marRight w:val="0"/>
          <w:marTop w:val="0"/>
          <w:marBottom w:val="0"/>
          <w:divBdr>
            <w:top w:val="none" w:sz="0" w:space="0" w:color="auto"/>
            <w:left w:val="none" w:sz="0" w:space="0" w:color="auto"/>
            <w:bottom w:val="none" w:sz="0" w:space="0" w:color="auto"/>
            <w:right w:val="none" w:sz="0" w:space="0" w:color="auto"/>
          </w:divBdr>
        </w:div>
        <w:div w:id="511800852">
          <w:marLeft w:val="0"/>
          <w:marRight w:val="0"/>
          <w:marTop w:val="0"/>
          <w:marBottom w:val="0"/>
          <w:divBdr>
            <w:top w:val="none" w:sz="0" w:space="0" w:color="auto"/>
            <w:left w:val="none" w:sz="0" w:space="0" w:color="auto"/>
            <w:bottom w:val="none" w:sz="0" w:space="0" w:color="auto"/>
            <w:right w:val="none" w:sz="0" w:space="0" w:color="auto"/>
          </w:divBdr>
        </w:div>
      </w:divsChild>
    </w:div>
    <w:div w:id="511800700">
      <w:marLeft w:val="0"/>
      <w:marRight w:val="0"/>
      <w:marTop w:val="0"/>
      <w:marBottom w:val="0"/>
      <w:divBdr>
        <w:top w:val="none" w:sz="0" w:space="0" w:color="auto"/>
        <w:left w:val="none" w:sz="0" w:space="0" w:color="auto"/>
        <w:bottom w:val="none" w:sz="0" w:space="0" w:color="auto"/>
        <w:right w:val="none" w:sz="0" w:space="0" w:color="auto"/>
      </w:divBdr>
    </w:div>
    <w:div w:id="511800705">
      <w:marLeft w:val="0"/>
      <w:marRight w:val="0"/>
      <w:marTop w:val="0"/>
      <w:marBottom w:val="0"/>
      <w:divBdr>
        <w:top w:val="none" w:sz="0" w:space="0" w:color="auto"/>
        <w:left w:val="none" w:sz="0" w:space="0" w:color="auto"/>
        <w:bottom w:val="none" w:sz="0" w:space="0" w:color="auto"/>
        <w:right w:val="none" w:sz="0" w:space="0" w:color="auto"/>
      </w:divBdr>
    </w:div>
    <w:div w:id="511800708">
      <w:marLeft w:val="0"/>
      <w:marRight w:val="0"/>
      <w:marTop w:val="0"/>
      <w:marBottom w:val="0"/>
      <w:divBdr>
        <w:top w:val="none" w:sz="0" w:space="0" w:color="auto"/>
        <w:left w:val="none" w:sz="0" w:space="0" w:color="auto"/>
        <w:bottom w:val="none" w:sz="0" w:space="0" w:color="auto"/>
        <w:right w:val="none" w:sz="0" w:space="0" w:color="auto"/>
      </w:divBdr>
      <w:divsChild>
        <w:div w:id="511800672">
          <w:marLeft w:val="0"/>
          <w:marRight w:val="0"/>
          <w:marTop w:val="0"/>
          <w:marBottom w:val="0"/>
          <w:divBdr>
            <w:top w:val="none" w:sz="0" w:space="0" w:color="auto"/>
            <w:left w:val="none" w:sz="0" w:space="0" w:color="auto"/>
            <w:bottom w:val="none" w:sz="0" w:space="0" w:color="auto"/>
            <w:right w:val="none" w:sz="0" w:space="0" w:color="auto"/>
          </w:divBdr>
        </w:div>
        <w:div w:id="511800834">
          <w:marLeft w:val="0"/>
          <w:marRight w:val="0"/>
          <w:marTop w:val="0"/>
          <w:marBottom w:val="0"/>
          <w:divBdr>
            <w:top w:val="none" w:sz="0" w:space="0" w:color="auto"/>
            <w:left w:val="none" w:sz="0" w:space="0" w:color="auto"/>
            <w:bottom w:val="none" w:sz="0" w:space="0" w:color="auto"/>
            <w:right w:val="none" w:sz="0" w:space="0" w:color="auto"/>
          </w:divBdr>
        </w:div>
        <w:div w:id="511800837">
          <w:marLeft w:val="0"/>
          <w:marRight w:val="0"/>
          <w:marTop w:val="0"/>
          <w:marBottom w:val="0"/>
          <w:divBdr>
            <w:top w:val="none" w:sz="0" w:space="0" w:color="auto"/>
            <w:left w:val="none" w:sz="0" w:space="0" w:color="auto"/>
            <w:bottom w:val="none" w:sz="0" w:space="0" w:color="auto"/>
            <w:right w:val="none" w:sz="0" w:space="0" w:color="auto"/>
          </w:divBdr>
        </w:div>
      </w:divsChild>
    </w:div>
    <w:div w:id="511800709">
      <w:marLeft w:val="0"/>
      <w:marRight w:val="0"/>
      <w:marTop w:val="0"/>
      <w:marBottom w:val="0"/>
      <w:divBdr>
        <w:top w:val="none" w:sz="0" w:space="0" w:color="auto"/>
        <w:left w:val="none" w:sz="0" w:space="0" w:color="auto"/>
        <w:bottom w:val="none" w:sz="0" w:space="0" w:color="auto"/>
        <w:right w:val="none" w:sz="0" w:space="0" w:color="auto"/>
      </w:divBdr>
    </w:div>
    <w:div w:id="511800717">
      <w:marLeft w:val="0"/>
      <w:marRight w:val="0"/>
      <w:marTop w:val="0"/>
      <w:marBottom w:val="0"/>
      <w:divBdr>
        <w:top w:val="none" w:sz="0" w:space="0" w:color="auto"/>
        <w:left w:val="none" w:sz="0" w:space="0" w:color="auto"/>
        <w:bottom w:val="none" w:sz="0" w:space="0" w:color="auto"/>
        <w:right w:val="none" w:sz="0" w:space="0" w:color="auto"/>
      </w:divBdr>
      <w:divsChild>
        <w:div w:id="511800856">
          <w:marLeft w:val="0"/>
          <w:marRight w:val="0"/>
          <w:marTop w:val="0"/>
          <w:marBottom w:val="0"/>
          <w:divBdr>
            <w:top w:val="none" w:sz="0" w:space="0" w:color="auto"/>
            <w:left w:val="none" w:sz="0" w:space="0" w:color="auto"/>
            <w:bottom w:val="none" w:sz="0" w:space="0" w:color="auto"/>
            <w:right w:val="none" w:sz="0" w:space="0" w:color="auto"/>
          </w:divBdr>
        </w:div>
      </w:divsChild>
    </w:div>
    <w:div w:id="511800721">
      <w:marLeft w:val="0"/>
      <w:marRight w:val="0"/>
      <w:marTop w:val="0"/>
      <w:marBottom w:val="0"/>
      <w:divBdr>
        <w:top w:val="none" w:sz="0" w:space="0" w:color="auto"/>
        <w:left w:val="none" w:sz="0" w:space="0" w:color="auto"/>
        <w:bottom w:val="none" w:sz="0" w:space="0" w:color="auto"/>
        <w:right w:val="none" w:sz="0" w:space="0" w:color="auto"/>
      </w:divBdr>
    </w:div>
    <w:div w:id="511800730">
      <w:marLeft w:val="0"/>
      <w:marRight w:val="0"/>
      <w:marTop w:val="0"/>
      <w:marBottom w:val="0"/>
      <w:divBdr>
        <w:top w:val="none" w:sz="0" w:space="0" w:color="auto"/>
        <w:left w:val="none" w:sz="0" w:space="0" w:color="auto"/>
        <w:bottom w:val="none" w:sz="0" w:space="0" w:color="auto"/>
        <w:right w:val="none" w:sz="0" w:space="0" w:color="auto"/>
      </w:divBdr>
    </w:div>
    <w:div w:id="511800737">
      <w:marLeft w:val="0"/>
      <w:marRight w:val="0"/>
      <w:marTop w:val="0"/>
      <w:marBottom w:val="0"/>
      <w:divBdr>
        <w:top w:val="none" w:sz="0" w:space="0" w:color="auto"/>
        <w:left w:val="none" w:sz="0" w:space="0" w:color="auto"/>
        <w:bottom w:val="none" w:sz="0" w:space="0" w:color="auto"/>
        <w:right w:val="none" w:sz="0" w:space="0" w:color="auto"/>
      </w:divBdr>
      <w:divsChild>
        <w:div w:id="511800729">
          <w:marLeft w:val="0"/>
          <w:marRight w:val="0"/>
          <w:marTop w:val="0"/>
          <w:marBottom w:val="0"/>
          <w:divBdr>
            <w:top w:val="none" w:sz="0" w:space="0" w:color="auto"/>
            <w:left w:val="none" w:sz="0" w:space="0" w:color="auto"/>
            <w:bottom w:val="none" w:sz="0" w:space="0" w:color="auto"/>
            <w:right w:val="none" w:sz="0" w:space="0" w:color="auto"/>
          </w:divBdr>
        </w:div>
      </w:divsChild>
    </w:div>
    <w:div w:id="511800738">
      <w:marLeft w:val="0"/>
      <w:marRight w:val="0"/>
      <w:marTop w:val="0"/>
      <w:marBottom w:val="0"/>
      <w:divBdr>
        <w:top w:val="none" w:sz="0" w:space="0" w:color="auto"/>
        <w:left w:val="none" w:sz="0" w:space="0" w:color="auto"/>
        <w:bottom w:val="none" w:sz="0" w:space="0" w:color="auto"/>
        <w:right w:val="none" w:sz="0" w:space="0" w:color="auto"/>
      </w:divBdr>
      <w:divsChild>
        <w:div w:id="511800636">
          <w:marLeft w:val="0"/>
          <w:marRight w:val="0"/>
          <w:marTop w:val="0"/>
          <w:marBottom w:val="0"/>
          <w:divBdr>
            <w:top w:val="none" w:sz="0" w:space="0" w:color="auto"/>
            <w:left w:val="none" w:sz="0" w:space="0" w:color="auto"/>
            <w:bottom w:val="none" w:sz="0" w:space="0" w:color="auto"/>
            <w:right w:val="none" w:sz="0" w:space="0" w:color="auto"/>
          </w:divBdr>
        </w:div>
        <w:div w:id="511800659">
          <w:marLeft w:val="0"/>
          <w:marRight w:val="0"/>
          <w:marTop w:val="0"/>
          <w:marBottom w:val="0"/>
          <w:divBdr>
            <w:top w:val="none" w:sz="0" w:space="0" w:color="auto"/>
            <w:left w:val="none" w:sz="0" w:space="0" w:color="auto"/>
            <w:bottom w:val="none" w:sz="0" w:space="0" w:color="auto"/>
            <w:right w:val="none" w:sz="0" w:space="0" w:color="auto"/>
          </w:divBdr>
        </w:div>
        <w:div w:id="511800670">
          <w:marLeft w:val="0"/>
          <w:marRight w:val="0"/>
          <w:marTop w:val="0"/>
          <w:marBottom w:val="0"/>
          <w:divBdr>
            <w:top w:val="none" w:sz="0" w:space="0" w:color="auto"/>
            <w:left w:val="none" w:sz="0" w:space="0" w:color="auto"/>
            <w:bottom w:val="none" w:sz="0" w:space="0" w:color="auto"/>
            <w:right w:val="none" w:sz="0" w:space="0" w:color="auto"/>
          </w:divBdr>
        </w:div>
        <w:div w:id="511800712">
          <w:marLeft w:val="0"/>
          <w:marRight w:val="0"/>
          <w:marTop w:val="0"/>
          <w:marBottom w:val="0"/>
          <w:divBdr>
            <w:top w:val="none" w:sz="0" w:space="0" w:color="auto"/>
            <w:left w:val="none" w:sz="0" w:space="0" w:color="auto"/>
            <w:bottom w:val="none" w:sz="0" w:space="0" w:color="auto"/>
            <w:right w:val="none" w:sz="0" w:space="0" w:color="auto"/>
          </w:divBdr>
        </w:div>
        <w:div w:id="511800764">
          <w:marLeft w:val="0"/>
          <w:marRight w:val="0"/>
          <w:marTop w:val="0"/>
          <w:marBottom w:val="0"/>
          <w:divBdr>
            <w:top w:val="none" w:sz="0" w:space="0" w:color="auto"/>
            <w:left w:val="none" w:sz="0" w:space="0" w:color="auto"/>
            <w:bottom w:val="none" w:sz="0" w:space="0" w:color="auto"/>
            <w:right w:val="none" w:sz="0" w:space="0" w:color="auto"/>
          </w:divBdr>
        </w:div>
        <w:div w:id="511800772">
          <w:marLeft w:val="0"/>
          <w:marRight w:val="0"/>
          <w:marTop w:val="0"/>
          <w:marBottom w:val="0"/>
          <w:divBdr>
            <w:top w:val="none" w:sz="0" w:space="0" w:color="auto"/>
            <w:left w:val="none" w:sz="0" w:space="0" w:color="auto"/>
            <w:bottom w:val="none" w:sz="0" w:space="0" w:color="auto"/>
            <w:right w:val="none" w:sz="0" w:space="0" w:color="auto"/>
          </w:divBdr>
        </w:div>
        <w:div w:id="511800818">
          <w:marLeft w:val="0"/>
          <w:marRight w:val="0"/>
          <w:marTop w:val="0"/>
          <w:marBottom w:val="0"/>
          <w:divBdr>
            <w:top w:val="none" w:sz="0" w:space="0" w:color="auto"/>
            <w:left w:val="none" w:sz="0" w:space="0" w:color="auto"/>
            <w:bottom w:val="none" w:sz="0" w:space="0" w:color="auto"/>
            <w:right w:val="none" w:sz="0" w:space="0" w:color="auto"/>
          </w:divBdr>
        </w:div>
        <w:div w:id="511800820">
          <w:marLeft w:val="0"/>
          <w:marRight w:val="0"/>
          <w:marTop w:val="0"/>
          <w:marBottom w:val="0"/>
          <w:divBdr>
            <w:top w:val="none" w:sz="0" w:space="0" w:color="auto"/>
            <w:left w:val="none" w:sz="0" w:space="0" w:color="auto"/>
            <w:bottom w:val="none" w:sz="0" w:space="0" w:color="auto"/>
            <w:right w:val="none" w:sz="0" w:space="0" w:color="auto"/>
          </w:divBdr>
        </w:div>
      </w:divsChild>
    </w:div>
    <w:div w:id="511800742">
      <w:marLeft w:val="0"/>
      <w:marRight w:val="0"/>
      <w:marTop w:val="0"/>
      <w:marBottom w:val="0"/>
      <w:divBdr>
        <w:top w:val="none" w:sz="0" w:space="0" w:color="auto"/>
        <w:left w:val="none" w:sz="0" w:space="0" w:color="auto"/>
        <w:bottom w:val="none" w:sz="0" w:space="0" w:color="auto"/>
        <w:right w:val="none" w:sz="0" w:space="0" w:color="auto"/>
      </w:divBdr>
    </w:div>
    <w:div w:id="511800748">
      <w:marLeft w:val="0"/>
      <w:marRight w:val="0"/>
      <w:marTop w:val="0"/>
      <w:marBottom w:val="0"/>
      <w:divBdr>
        <w:top w:val="none" w:sz="0" w:space="0" w:color="auto"/>
        <w:left w:val="none" w:sz="0" w:space="0" w:color="auto"/>
        <w:bottom w:val="none" w:sz="0" w:space="0" w:color="auto"/>
        <w:right w:val="none" w:sz="0" w:space="0" w:color="auto"/>
      </w:divBdr>
    </w:div>
    <w:div w:id="511800754">
      <w:marLeft w:val="0"/>
      <w:marRight w:val="0"/>
      <w:marTop w:val="0"/>
      <w:marBottom w:val="0"/>
      <w:divBdr>
        <w:top w:val="none" w:sz="0" w:space="0" w:color="auto"/>
        <w:left w:val="none" w:sz="0" w:space="0" w:color="auto"/>
        <w:bottom w:val="none" w:sz="0" w:space="0" w:color="auto"/>
        <w:right w:val="none" w:sz="0" w:space="0" w:color="auto"/>
      </w:divBdr>
    </w:div>
    <w:div w:id="511800762">
      <w:marLeft w:val="0"/>
      <w:marRight w:val="0"/>
      <w:marTop w:val="0"/>
      <w:marBottom w:val="0"/>
      <w:divBdr>
        <w:top w:val="none" w:sz="0" w:space="0" w:color="auto"/>
        <w:left w:val="none" w:sz="0" w:space="0" w:color="auto"/>
        <w:bottom w:val="none" w:sz="0" w:space="0" w:color="auto"/>
        <w:right w:val="none" w:sz="0" w:space="0" w:color="auto"/>
      </w:divBdr>
      <w:divsChild>
        <w:div w:id="511800666">
          <w:marLeft w:val="0"/>
          <w:marRight w:val="0"/>
          <w:marTop w:val="0"/>
          <w:marBottom w:val="0"/>
          <w:divBdr>
            <w:top w:val="none" w:sz="0" w:space="0" w:color="auto"/>
            <w:left w:val="none" w:sz="0" w:space="0" w:color="auto"/>
            <w:bottom w:val="none" w:sz="0" w:space="0" w:color="auto"/>
            <w:right w:val="none" w:sz="0" w:space="0" w:color="auto"/>
          </w:divBdr>
        </w:div>
        <w:div w:id="511800671">
          <w:marLeft w:val="0"/>
          <w:marRight w:val="0"/>
          <w:marTop w:val="0"/>
          <w:marBottom w:val="0"/>
          <w:divBdr>
            <w:top w:val="none" w:sz="0" w:space="0" w:color="auto"/>
            <w:left w:val="none" w:sz="0" w:space="0" w:color="auto"/>
            <w:bottom w:val="none" w:sz="0" w:space="0" w:color="auto"/>
            <w:right w:val="none" w:sz="0" w:space="0" w:color="auto"/>
          </w:divBdr>
        </w:div>
        <w:div w:id="511800682">
          <w:marLeft w:val="0"/>
          <w:marRight w:val="0"/>
          <w:marTop w:val="0"/>
          <w:marBottom w:val="0"/>
          <w:divBdr>
            <w:top w:val="none" w:sz="0" w:space="0" w:color="auto"/>
            <w:left w:val="none" w:sz="0" w:space="0" w:color="auto"/>
            <w:bottom w:val="none" w:sz="0" w:space="0" w:color="auto"/>
            <w:right w:val="none" w:sz="0" w:space="0" w:color="auto"/>
          </w:divBdr>
        </w:div>
        <w:div w:id="511800707">
          <w:marLeft w:val="0"/>
          <w:marRight w:val="0"/>
          <w:marTop w:val="0"/>
          <w:marBottom w:val="0"/>
          <w:divBdr>
            <w:top w:val="none" w:sz="0" w:space="0" w:color="auto"/>
            <w:left w:val="none" w:sz="0" w:space="0" w:color="auto"/>
            <w:bottom w:val="none" w:sz="0" w:space="0" w:color="auto"/>
            <w:right w:val="none" w:sz="0" w:space="0" w:color="auto"/>
          </w:divBdr>
        </w:div>
        <w:div w:id="511800720">
          <w:marLeft w:val="0"/>
          <w:marRight w:val="0"/>
          <w:marTop w:val="0"/>
          <w:marBottom w:val="0"/>
          <w:divBdr>
            <w:top w:val="none" w:sz="0" w:space="0" w:color="auto"/>
            <w:left w:val="none" w:sz="0" w:space="0" w:color="auto"/>
            <w:bottom w:val="none" w:sz="0" w:space="0" w:color="auto"/>
            <w:right w:val="none" w:sz="0" w:space="0" w:color="auto"/>
          </w:divBdr>
        </w:div>
        <w:div w:id="511800749">
          <w:marLeft w:val="0"/>
          <w:marRight w:val="0"/>
          <w:marTop w:val="0"/>
          <w:marBottom w:val="0"/>
          <w:divBdr>
            <w:top w:val="none" w:sz="0" w:space="0" w:color="auto"/>
            <w:left w:val="none" w:sz="0" w:space="0" w:color="auto"/>
            <w:bottom w:val="none" w:sz="0" w:space="0" w:color="auto"/>
            <w:right w:val="none" w:sz="0" w:space="0" w:color="auto"/>
          </w:divBdr>
        </w:div>
        <w:div w:id="511800755">
          <w:marLeft w:val="0"/>
          <w:marRight w:val="0"/>
          <w:marTop w:val="0"/>
          <w:marBottom w:val="0"/>
          <w:divBdr>
            <w:top w:val="none" w:sz="0" w:space="0" w:color="auto"/>
            <w:left w:val="none" w:sz="0" w:space="0" w:color="auto"/>
            <w:bottom w:val="none" w:sz="0" w:space="0" w:color="auto"/>
            <w:right w:val="none" w:sz="0" w:space="0" w:color="auto"/>
          </w:divBdr>
        </w:div>
        <w:div w:id="511800758">
          <w:marLeft w:val="0"/>
          <w:marRight w:val="0"/>
          <w:marTop w:val="0"/>
          <w:marBottom w:val="0"/>
          <w:divBdr>
            <w:top w:val="none" w:sz="0" w:space="0" w:color="auto"/>
            <w:left w:val="none" w:sz="0" w:space="0" w:color="auto"/>
            <w:bottom w:val="none" w:sz="0" w:space="0" w:color="auto"/>
            <w:right w:val="none" w:sz="0" w:space="0" w:color="auto"/>
          </w:divBdr>
        </w:div>
        <w:div w:id="511800826">
          <w:marLeft w:val="0"/>
          <w:marRight w:val="0"/>
          <w:marTop w:val="0"/>
          <w:marBottom w:val="0"/>
          <w:divBdr>
            <w:top w:val="none" w:sz="0" w:space="0" w:color="auto"/>
            <w:left w:val="none" w:sz="0" w:space="0" w:color="auto"/>
            <w:bottom w:val="none" w:sz="0" w:space="0" w:color="auto"/>
            <w:right w:val="none" w:sz="0" w:space="0" w:color="auto"/>
          </w:divBdr>
        </w:div>
        <w:div w:id="511800846">
          <w:marLeft w:val="0"/>
          <w:marRight w:val="0"/>
          <w:marTop w:val="0"/>
          <w:marBottom w:val="0"/>
          <w:divBdr>
            <w:top w:val="none" w:sz="0" w:space="0" w:color="auto"/>
            <w:left w:val="none" w:sz="0" w:space="0" w:color="auto"/>
            <w:bottom w:val="none" w:sz="0" w:space="0" w:color="auto"/>
            <w:right w:val="none" w:sz="0" w:space="0" w:color="auto"/>
          </w:divBdr>
        </w:div>
      </w:divsChild>
    </w:div>
    <w:div w:id="511800765">
      <w:marLeft w:val="0"/>
      <w:marRight w:val="0"/>
      <w:marTop w:val="0"/>
      <w:marBottom w:val="0"/>
      <w:divBdr>
        <w:top w:val="none" w:sz="0" w:space="0" w:color="auto"/>
        <w:left w:val="none" w:sz="0" w:space="0" w:color="auto"/>
        <w:bottom w:val="none" w:sz="0" w:space="0" w:color="auto"/>
        <w:right w:val="none" w:sz="0" w:space="0" w:color="auto"/>
      </w:divBdr>
      <w:divsChild>
        <w:div w:id="511800661">
          <w:marLeft w:val="0"/>
          <w:marRight w:val="0"/>
          <w:marTop w:val="0"/>
          <w:marBottom w:val="0"/>
          <w:divBdr>
            <w:top w:val="none" w:sz="0" w:space="0" w:color="auto"/>
            <w:left w:val="none" w:sz="0" w:space="0" w:color="auto"/>
            <w:bottom w:val="none" w:sz="0" w:space="0" w:color="auto"/>
            <w:right w:val="none" w:sz="0" w:space="0" w:color="auto"/>
          </w:divBdr>
        </w:div>
        <w:div w:id="511800835">
          <w:marLeft w:val="0"/>
          <w:marRight w:val="0"/>
          <w:marTop w:val="0"/>
          <w:marBottom w:val="0"/>
          <w:divBdr>
            <w:top w:val="none" w:sz="0" w:space="0" w:color="auto"/>
            <w:left w:val="none" w:sz="0" w:space="0" w:color="auto"/>
            <w:bottom w:val="none" w:sz="0" w:space="0" w:color="auto"/>
            <w:right w:val="none" w:sz="0" w:space="0" w:color="auto"/>
          </w:divBdr>
        </w:div>
      </w:divsChild>
    </w:div>
    <w:div w:id="511800766">
      <w:marLeft w:val="0"/>
      <w:marRight w:val="0"/>
      <w:marTop w:val="0"/>
      <w:marBottom w:val="0"/>
      <w:divBdr>
        <w:top w:val="none" w:sz="0" w:space="0" w:color="auto"/>
        <w:left w:val="none" w:sz="0" w:space="0" w:color="auto"/>
        <w:bottom w:val="none" w:sz="0" w:space="0" w:color="auto"/>
        <w:right w:val="none" w:sz="0" w:space="0" w:color="auto"/>
      </w:divBdr>
    </w:div>
    <w:div w:id="511800774">
      <w:marLeft w:val="0"/>
      <w:marRight w:val="0"/>
      <w:marTop w:val="0"/>
      <w:marBottom w:val="0"/>
      <w:divBdr>
        <w:top w:val="none" w:sz="0" w:space="0" w:color="auto"/>
        <w:left w:val="none" w:sz="0" w:space="0" w:color="auto"/>
        <w:bottom w:val="none" w:sz="0" w:space="0" w:color="auto"/>
        <w:right w:val="none" w:sz="0" w:space="0" w:color="auto"/>
      </w:divBdr>
      <w:divsChild>
        <w:div w:id="511800799">
          <w:marLeft w:val="0"/>
          <w:marRight w:val="0"/>
          <w:marTop w:val="0"/>
          <w:marBottom w:val="0"/>
          <w:divBdr>
            <w:top w:val="none" w:sz="0" w:space="0" w:color="auto"/>
            <w:left w:val="none" w:sz="0" w:space="0" w:color="auto"/>
            <w:bottom w:val="none" w:sz="0" w:space="0" w:color="auto"/>
            <w:right w:val="none" w:sz="0" w:space="0" w:color="auto"/>
          </w:divBdr>
        </w:div>
      </w:divsChild>
    </w:div>
    <w:div w:id="511800779">
      <w:marLeft w:val="0"/>
      <w:marRight w:val="0"/>
      <w:marTop w:val="0"/>
      <w:marBottom w:val="0"/>
      <w:divBdr>
        <w:top w:val="none" w:sz="0" w:space="0" w:color="auto"/>
        <w:left w:val="none" w:sz="0" w:space="0" w:color="auto"/>
        <w:bottom w:val="none" w:sz="0" w:space="0" w:color="auto"/>
        <w:right w:val="none" w:sz="0" w:space="0" w:color="auto"/>
      </w:divBdr>
      <w:divsChild>
        <w:div w:id="511800647">
          <w:marLeft w:val="0"/>
          <w:marRight w:val="0"/>
          <w:marTop w:val="0"/>
          <w:marBottom w:val="0"/>
          <w:divBdr>
            <w:top w:val="none" w:sz="0" w:space="0" w:color="auto"/>
            <w:left w:val="none" w:sz="0" w:space="0" w:color="auto"/>
            <w:bottom w:val="none" w:sz="0" w:space="0" w:color="auto"/>
            <w:right w:val="none" w:sz="0" w:space="0" w:color="auto"/>
          </w:divBdr>
        </w:div>
        <w:div w:id="511800701">
          <w:marLeft w:val="0"/>
          <w:marRight w:val="0"/>
          <w:marTop w:val="0"/>
          <w:marBottom w:val="0"/>
          <w:divBdr>
            <w:top w:val="none" w:sz="0" w:space="0" w:color="auto"/>
            <w:left w:val="none" w:sz="0" w:space="0" w:color="auto"/>
            <w:bottom w:val="none" w:sz="0" w:space="0" w:color="auto"/>
            <w:right w:val="none" w:sz="0" w:space="0" w:color="auto"/>
          </w:divBdr>
        </w:div>
        <w:div w:id="511800828">
          <w:marLeft w:val="0"/>
          <w:marRight w:val="0"/>
          <w:marTop w:val="0"/>
          <w:marBottom w:val="0"/>
          <w:divBdr>
            <w:top w:val="none" w:sz="0" w:space="0" w:color="auto"/>
            <w:left w:val="none" w:sz="0" w:space="0" w:color="auto"/>
            <w:bottom w:val="none" w:sz="0" w:space="0" w:color="auto"/>
            <w:right w:val="none" w:sz="0" w:space="0" w:color="auto"/>
          </w:divBdr>
        </w:div>
      </w:divsChild>
    </w:div>
    <w:div w:id="511800780">
      <w:marLeft w:val="0"/>
      <w:marRight w:val="0"/>
      <w:marTop w:val="0"/>
      <w:marBottom w:val="0"/>
      <w:divBdr>
        <w:top w:val="none" w:sz="0" w:space="0" w:color="auto"/>
        <w:left w:val="none" w:sz="0" w:space="0" w:color="auto"/>
        <w:bottom w:val="none" w:sz="0" w:space="0" w:color="auto"/>
        <w:right w:val="none" w:sz="0" w:space="0" w:color="auto"/>
      </w:divBdr>
      <w:divsChild>
        <w:div w:id="511800635">
          <w:marLeft w:val="0"/>
          <w:marRight w:val="0"/>
          <w:marTop w:val="0"/>
          <w:marBottom w:val="0"/>
          <w:divBdr>
            <w:top w:val="none" w:sz="0" w:space="0" w:color="auto"/>
            <w:left w:val="none" w:sz="0" w:space="0" w:color="auto"/>
            <w:bottom w:val="none" w:sz="0" w:space="0" w:color="auto"/>
            <w:right w:val="none" w:sz="0" w:space="0" w:color="auto"/>
          </w:divBdr>
        </w:div>
        <w:div w:id="511800640">
          <w:marLeft w:val="0"/>
          <w:marRight w:val="0"/>
          <w:marTop w:val="0"/>
          <w:marBottom w:val="0"/>
          <w:divBdr>
            <w:top w:val="none" w:sz="0" w:space="0" w:color="auto"/>
            <w:left w:val="none" w:sz="0" w:space="0" w:color="auto"/>
            <w:bottom w:val="none" w:sz="0" w:space="0" w:color="auto"/>
            <w:right w:val="none" w:sz="0" w:space="0" w:color="auto"/>
          </w:divBdr>
        </w:div>
        <w:div w:id="511800642">
          <w:marLeft w:val="0"/>
          <w:marRight w:val="0"/>
          <w:marTop w:val="0"/>
          <w:marBottom w:val="0"/>
          <w:divBdr>
            <w:top w:val="none" w:sz="0" w:space="0" w:color="auto"/>
            <w:left w:val="none" w:sz="0" w:space="0" w:color="auto"/>
            <w:bottom w:val="none" w:sz="0" w:space="0" w:color="auto"/>
            <w:right w:val="none" w:sz="0" w:space="0" w:color="auto"/>
          </w:divBdr>
        </w:div>
        <w:div w:id="511800644">
          <w:marLeft w:val="0"/>
          <w:marRight w:val="0"/>
          <w:marTop w:val="0"/>
          <w:marBottom w:val="0"/>
          <w:divBdr>
            <w:top w:val="none" w:sz="0" w:space="0" w:color="auto"/>
            <w:left w:val="none" w:sz="0" w:space="0" w:color="auto"/>
            <w:bottom w:val="none" w:sz="0" w:space="0" w:color="auto"/>
            <w:right w:val="none" w:sz="0" w:space="0" w:color="auto"/>
          </w:divBdr>
        </w:div>
        <w:div w:id="511800655">
          <w:marLeft w:val="0"/>
          <w:marRight w:val="0"/>
          <w:marTop w:val="0"/>
          <w:marBottom w:val="0"/>
          <w:divBdr>
            <w:top w:val="none" w:sz="0" w:space="0" w:color="auto"/>
            <w:left w:val="none" w:sz="0" w:space="0" w:color="auto"/>
            <w:bottom w:val="none" w:sz="0" w:space="0" w:color="auto"/>
            <w:right w:val="none" w:sz="0" w:space="0" w:color="auto"/>
          </w:divBdr>
        </w:div>
        <w:div w:id="511800677">
          <w:marLeft w:val="0"/>
          <w:marRight w:val="0"/>
          <w:marTop w:val="0"/>
          <w:marBottom w:val="0"/>
          <w:divBdr>
            <w:top w:val="none" w:sz="0" w:space="0" w:color="auto"/>
            <w:left w:val="none" w:sz="0" w:space="0" w:color="auto"/>
            <w:bottom w:val="none" w:sz="0" w:space="0" w:color="auto"/>
            <w:right w:val="none" w:sz="0" w:space="0" w:color="auto"/>
          </w:divBdr>
        </w:div>
        <w:div w:id="511800692">
          <w:marLeft w:val="0"/>
          <w:marRight w:val="0"/>
          <w:marTop w:val="0"/>
          <w:marBottom w:val="0"/>
          <w:divBdr>
            <w:top w:val="none" w:sz="0" w:space="0" w:color="auto"/>
            <w:left w:val="none" w:sz="0" w:space="0" w:color="auto"/>
            <w:bottom w:val="none" w:sz="0" w:space="0" w:color="auto"/>
            <w:right w:val="none" w:sz="0" w:space="0" w:color="auto"/>
          </w:divBdr>
        </w:div>
        <w:div w:id="511800710">
          <w:marLeft w:val="0"/>
          <w:marRight w:val="0"/>
          <w:marTop w:val="0"/>
          <w:marBottom w:val="0"/>
          <w:divBdr>
            <w:top w:val="none" w:sz="0" w:space="0" w:color="auto"/>
            <w:left w:val="none" w:sz="0" w:space="0" w:color="auto"/>
            <w:bottom w:val="none" w:sz="0" w:space="0" w:color="auto"/>
            <w:right w:val="none" w:sz="0" w:space="0" w:color="auto"/>
          </w:divBdr>
        </w:div>
        <w:div w:id="511800725">
          <w:marLeft w:val="0"/>
          <w:marRight w:val="0"/>
          <w:marTop w:val="0"/>
          <w:marBottom w:val="0"/>
          <w:divBdr>
            <w:top w:val="none" w:sz="0" w:space="0" w:color="auto"/>
            <w:left w:val="none" w:sz="0" w:space="0" w:color="auto"/>
            <w:bottom w:val="none" w:sz="0" w:space="0" w:color="auto"/>
            <w:right w:val="none" w:sz="0" w:space="0" w:color="auto"/>
          </w:divBdr>
        </w:div>
        <w:div w:id="511800726">
          <w:marLeft w:val="0"/>
          <w:marRight w:val="0"/>
          <w:marTop w:val="0"/>
          <w:marBottom w:val="0"/>
          <w:divBdr>
            <w:top w:val="none" w:sz="0" w:space="0" w:color="auto"/>
            <w:left w:val="none" w:sz="0" w:space="0" w:color="auto"/>
            <w:bottom w:val="none" w:sz="0" w:space="0" w:color="auto"/>
            <w:right w:val="none" w:sz="0" w:space="0" w:color="auto"/>
          </w:divBdr>
        </w:div>
        <w:div w:id="511800728">
          <w:marLeft w:val="0"/>
          <w:marRight w:val="0"/>
          <w:marTop w:val="0"/>
          <w:marBottom w:val="0"/>
          <w:divBdr>
            <w:top w:val="none" w:sz="0" w:space="0" w:color="auto"/>
            <w:left w:val="none" w:sz="0" w:space="0" w:color="auto"/>
            <w:bottom w:val="none" w:sz="0" w:space="0" w:color="auto"/>
            <w:right w:val="none" w:sz="0" w:space="0" w:color="auto"/>
          </w:divBdr>
        </w:div>
        <w:div w:id="511800739">
          <w:marLeft w:val="0"/>
          <w:marRight w:val="0"/>
          <w:marTop w:val="0"/>
          <w:marBottom w:val="0"/>
          <w:divBdr>
            <w:top w:val="none" w:sz="0" w:space="0" w:color="auto"/>
            <w:left w:val="none" w:sz="0" w:space="0" w:color="auto"/>
            <w:bottom w:val="none" w:sz="0" w:space="0" w:color="auto"/>
            <w:right w:val="none" w:sz="0" w:space="0" w:color="auto"/>
          </w:divBdr>
        </w:div>
        <w:div w:id="511800761">
          <w:marLeft w:val="0"/>
          <w:marRight w:val="0"/>
          <w:marTop w:val="0"/>
          <w:marBottom w:val="0"/>
          <w:divBdr>
            <w:top w:val="none" w:sz="0" w:space="0" w:color="auto"/>
            <w:left w:val="none" w:sz="0" w:space="0" w:color="auto"/>
            <w:bottom w:val="none" w:sz="0" w:space="0" w:color="auto"/>
            <w:right w:val="none" w:sz="0" w:space="0" w:color="auto"/>
          </w:divBdr>
        </w:div>
        <w:div w:id="511800771">
          <w:marLeft w:val="0"/>
          <w:marRight w:val="0"/>
          <w:marTop w:val="0"/>
          <w:marBottom w:val="0"/>
          <w:divBdr>
            <w:top w:val="none" w:sz="0" w:space="0" w:color="auto"/>
            <w:left w:val="none" w:sz="0" w:space="0" w:color="auto"/>
            <w:bottom w:val="none" w:sz="0" w:space="0" w:color="auto"/>
            <w:right w:val="none" w:sz="0" w:space="0" w:color="auto"/>
          </w:divBdr>
        </w:div>
        <w:div w:id="511800775">
          <w:marLeft w:val="0"/>
          <w:marRight w:val="0"/>
          <w:marTop w:val="0"/>
          <w:marBottom w:val="0"/>
          <w:divBdr>
            <w:top w:val="none" w:sz="0" w:space="0" w:color="auto"/>
            <w:left w:val="none" w:sz="0" w:space="0" w:color="auto"/>
            <w:bottom w:val="none" w:sz="0" w:space="0" w:color="auto"/>
            <w:right w:val="none" w:sz="0" w:space="0" w:color="auto"/>
          </w:divBdr>
        </w:div>
        <w:div w:id="511800792">
          <w:marLeft w:val="0"/>
          <w:marRight w:val="0"/>
          <w:marTop w:val="0"/>
          <w:marBottom w:val="0"/>
          <w:divBdr>
            <w:top w:val="none" w:sz="0" w:space="0" w:color="auto"/>
            <w:left w:val="none" w:sz="0" w:space="0" w:color="auto"/>
            <w:bottom w:val="none" w:sz="0" w:space="0" w:color="auto"/>
            <w:right w:val="none" w:sz="0" w:space="0" w:color="auto"/>
          </w:divBdr>
        </w:div>
        <w:div w:id="511800794">
          <w:marLeft w:val="0"/>
          <w:marRight w:val="0"/>
          <w:marTop w:val="0"/>
          <w:marBottom w:val="0"/>
          <w:divBdr>
            <w:top w:val="none" w:sz="0" w:space="0" w:color="auto"/>
            <w:left w:val="none" w:sz="0" w:space="0" w:color="auto"/>
            <w:bottom w:val="none" w:sz="0" w:space="0" w:color="auto"/>
            <w:right w:val="none" w:sz="0" w:space="0" w:color="auto"/>
          </w:divBdr>
        </w:div>
        <w:div w:id="511800805">
          <w:marLeft w:val="0"/>
          <w:marRight w:val="0"/>
          <w:marTop w:val="0"/>
          <w:marBottom w:val="0"/>
          <w:divBdr>
            <w:top w:val="none" w:sz="0" w:space="0" w:color="auto"/>
            <w:left w:val="none" w:sz="0" w:space="0" w:color="auto"/>
            <w:bottom w:val="none" w:sz="0" w:space="0" w:color="auto"/>
            <w:right w:val="none" w:sz="0" w:space="0" w:color="auto"/>
          </w:divBdr>
        </w:div>
        <w:div w:id="511800810">
          <w:marLeft w:val="0"/>
          <w:marRight w:val="0"/>
          <w:marTop w:val="0"/>
          <w:marBottom w:val="0"/>
          <w:divBdr>
            <w:top w:val="none" w:sz="0" w:space="0" w:color="auto"/>
            <w:left w:val="none" w:sz="0" w:space="0" w:color="auto"/>
            <w:bottom w:val="none" w:sz="0" w:space="0" w:color="auto"/>
            <w:right w:val="none" w:sz="0" w:space="0" w:color="auto"/>
          </w:divBdr>
        </w:div>
        <w:div w:id="511800817">
          <w:marLeft w:val="0"/>
          <w:marRight w:val="0"/>
          <w:marTop w:val="0"/>
          <w:marBottom w:val="0"/>
          <w:divBdr>
            <w:top w:val="none" w:sz="0" w:space="0" w:color="auto"/>
            <w:left w:val="none" w:sz="0" w:space="0" w:color="auto"/>
            <w:bottom w:val="none" w:sz="0" w:space="0" w:color="auto"/>
            <w:right w:val="none" w:sz="0" w:space="0" w:color="auto"/>
          </w:divBdr>
        </w:div>
        <w:div w:id="511800838">
          <w:marLeft w:val="0"/>
          <w:marRight w:val="0"/>
          <w:marTop w:val="0"/>
          <w:marBottom w:val="0"/>
          <w:divBdr>
            <w:top w:val="none" w:sz="0" w:space="0" w:color="auto"/>
            <w:left w:val="none" w:sz="0" w:space="0" w:color="auto"/>
            <w:bottom w:val="none" w:sz="0" w:space="0" w:color="auto"/>
            <w:right w:val="none" w:sz="0" w:space="0" w:color="auto"/>
          </w:divBdr>
        </w:div>
      </w:divsChild>
    </w:div>
    <w:div w:id="511800781">
      <w:marLeft w:val="0"/>
      <w:marRight w:val="0"/>
      <w:marTop w:val="0"/>
      <w:marBottom w:val="0"/>
      <w:divBdr>
        <w:top w:val="none" w:sz="0" w:space="0" w:color="auto"/>
        <w:left w:val="none" w:sz="0" w:space="0" w:color="auto"/>
        <w:bottom w:val="none" w:sz="0" w:space="0" w:color="auto"/>
        <w:right w:val="none" w:sz="0" w:space="0" w:color="auto"/>
      </w:divBdr>
    </w:div>
    <w:div w:id="511800784">
      <w:marLeft w:val="0"/>
      <w:marRight w:val="0"/>
      <w:marTop w:val="0"/>
      <w:marBottom w:val="0"/>
      <w:divBdr>
        <w:top w:val="none" w:sz="0" w:space="0" w:color="auto"/>
        <w:left w:val="none" w:sz="0" w:space="0" w:color="auto"/>
        <w:bottom w:val="none" w:sz="0" w:space="0" w:color="auto"/>
        <w:right w:val="none" w:sz="0" w:space="0" w:color="auto"/>
      </w:divBdr>
      <w:divsChild>
        <w:div w:id="511800638">
          <w:marLeft w:val="0"/>
          <w:marRight w:val="0"/>
          <w:marTop w:val="0"/>
          <w:marBottom w:val="0"/>
          <w:divBdr>
            <w:top w:val="none" w:sz="0" w:space="0" w:color="auto"/>
            <w:left w:val="none" w:sz="0" w:space="0" w:color="auto"/>
            <w:bottom w:val="none" w:sz="0" w:space="0" w:color="auto"/>
            <w:right w:val="none" w:sz="0" w:space="0" w:color="auto"/>
          </w:divBdr>
        </w:div>
        <w:div w:id="511800643">
          <w:marLeft w:val="0"/>
          <w:marRight w:val="0"/>
          <w:marTop w:val="0"/>
          <w:marBottom w:val="0"/>
          <w:divBdr>
            <w:top w:val="none" w:sz="0" w:space="0" w:color="auto"/>
            <w:left w:val="none" w:sz="0" w:space="0" w:color="auto"/>
            <w:bottom w:val="none" w:sz="0" w:space="0" w:color="auto"/>
            <w:right w:val="none" w:sz="0" w:space="0" w:color="auto"/>
          </w:divBdr>
        </w:div>
        <w:div w:id="511800650">
          <w:marLeft w:val="0"/>
          <w:marRight w:val="0"/>
          <w:marTop w:val="0"/>
          <w:marBottom w:val="0"/>
          <w:divBdr>
            <w:top w:val="none" w:sz="0" w:space="0" w:color="auto"/>
            <w:left w:val="none" w:sz="0" w:space="0" w:color="auto"/>
            <w:bottom w:val="none" w:sz="0" w:space="0" w:color="auto"/>
            <w:right w:val="none" w:sz="0" w:space="0" w:color="auto"/>
          </w:divBdr>
        </w:div>
        <w:div w:id="511800668">
          <w:marLeft w:val="0"/>
          <w:marRight w:val="0"/>
          <w:marTop w:val="0"/>
          <w:marBottom w:val="0"/>
          <w:divBdr>
            <w:top w:val="none" w:sz="0" w:space="0" w:color="auto"/>
            <w:left w:val="none" w:sz="0" w:space="0" w:color="auto"/>
            <w:bottom w:val="none" w:sz="0" w:space="0" w:color="auto"/>
            <w:right w:val="none" w:sz="0" w:space="0" w:color="auto"/>
          </w:divBdr>
        </w:div>
        <w:div w:id="511800689">
          <w:marLeft w:val="0"/>
          <w:marRight w:val="0"/>
          <w:marTop w:val="0"/>
          <w:marBottom w:val="0"/>
          <w:divBdr>
            <w:top w:val="none" w:sz="0" w:space="0" w:color="auto"/>
            <w:left w:val="none" w:sz="0" w:space="0" w:color="auto"/>
            <w:bottom w:val="none" w:sz="0" w:space="0" w:color="auto"/>
            <w:right w:val="none" w:sz="0" w:space="0" w:color="auto"/>
          </w:divBdr>
        </w:div>
        <w:div w:id="511800713">
          <w:marLeft w:val="0"/>
          <w:marRight w:val="0"/>
          <w:marTop w:val="0"/>
          <w:marBottom w:val="0"/>
          <w:divBdr>
            <w:top w:val="none" w:sz="0" w:space="0" w:color="auto"/>
            <w:left w:val="none" w:sz="0" w:space="0" w:color="auto"/>
            <w:bottom w:val="none" w:sz="0" w:space="0" w:color="auto"/>
            <w:right w:val="none" w:sz="0" w:space="0" w:color="auto"/>
          </w:divBdr>
        </w:div>
        <w:div w:id="511800727">
          <w:marLeft w:val="0"/>
          <w:marRight w:val="0"/>
          <w:marTop w:val="0"/>
          <w:marBottom w:val="0"/>
          <w:divBdr>
            <w:top w:val="none" w:sz="0" w:space="0" w:color="auto"/>
            <w:left w:val="none" w:sz="0" w:space="0" w:color="auto"/>
            <w:bottom w:val="none" w:sz="0" w:space="0" w:color="auto"/>
            <w:right w:val="none" w:sz="0" w:space="0" w:color="auto"/>
          </w:divBdr>
        </w:div>
        <w:div w:id="511800743">
          <w:marLeft w:val="0"/>
          <w:marRight w:val="0"/>
          <w:marTop w:val="0"/>
          <w:marBottom w:val="0"/>
          <w:divBdr>
            <w:top w:val="none" w:sz="0" w:space="0" w:color="auto"/>
            <w:left w:val="none" w:sz="0" w:space="0" w:color="auto"/>
            <w:bottom w:val="none" w:sz="0" w:space="0" w:color="auto"/>
            <w:right w:val="none" w:sz="0" w:space="0" w:color="auto"/>
          </w:divBdr>
        </w:div>
        <w:div w:id="511800776">
          <w:marLeft w:val="0"/>
          <w:marRight w:val="0"/>
          <w:marTop w:val="0"/>
          <w:marBottom w:val="0"/>
          <w:divBdr>
            <w:top w:val="none" w:sz="0" w:space="0" w:color="auto"/>
            <w:left w:val="none" w:sz="0" w:space="0" w:color="auto"/>
            <w:bottom w:val="none" w:sz="0" w:space="0" w:color="auto"/>
            <w:right w:val="none" w:sz="0" w:space="0" w:color="auto"/>
          </w:divBdr>
        </w:div>
        <w:div w:id="511800814">
          <w:marLeft w:val="0"/>
          <w:marRight w:val="0"/>
          <w:marTop w:val="0"/>
          <w:marBottom w:val="0"/>
          <w:divBdr>
            <w:top w:val="none" w:sz="0" w:space="0" w:color="auto"/>
            <w:left w:val="none" w:sz="0" w:space="0" w:color="auto"/>
            <w:bottom w:val="none" w:sz="0" w:space="0" w:color="auto"/>
            <w:right w:val="none" w:sz="0" w:space="0" w:color="auto"/>
          </w:divBdr>
        </w:div>
        <w:div w:id="511800845">
          <w:marLeft w:val="0"/>
          <w:marRight w:val="0"/>
          <w:marTop w:val="0"/>
          <w:marBottom w:val="0"/>
          <w:divBdr>
            <w:top w:val="none" w:sz="0" w:space="0" w:color="auto"/>
            <w:left w:val="none" w:sz="0" w:space="0" w:color="auto"/>
            <w:bottom w:val="none" w:sz="0" w:space="0" w:color="auto"/>
            <w:right w:val="none" w:sz="0" w:space="0" w:color="auto"/>
          </w:divBdr>
        </w:div>
      </w:divsChild>
    </w:div>
    <w:div w:id="511800785">
      <w:marLeft w:val="0"/>
      <w:marRight w:val="0"/>
      <w:marTop w:val="0"/>
      <w:marBottom w:val="0"/>
      <w:divBdr>
        <w:top w:val="none" w:sz="0" w:space="0" w:color="auto"/>
        <w:left w:val="none" w:sz="0" w:space="0" w:color="auto"/>
        <w:bottom w:val="none" w:sz="0" w:space="0" w:color="auto"/>
        <w:right w:val="none" w:sz="0" w:space="0" w:color="auto"/>
      </w:divBdr>
      <w:divsChild>
        <w:div w:id="511800684">
          <w:marLeft w:val="0"/>
          <w:marRight w:val="0"/>
          <w:marTop w:val="0"/>
          <w:marBottom w:val="0"/>
          <w:divBdr>
            <w:top w:val="none" w:sz="0" w:space="0" w:color="auto"/>
            <w:left w:val="none" w:sz="0" w:space="0" w:color="auto"/>
            <w:bottom w:val="none" w:sz="0" w:space="0" w:color="auto"/>
            <w:right w:val="none" w:sz="0" w:space="0" w:color="auto"/>
          </w:divBdr>
        </w:div>
        <w:div w:id="511800696">
          <w:marLeft w:val="0"/>
          <w:marRight w:val="0"/>
          <w:marTop w:val="0"/>
          <w:marBottom w:val="0"/>
          <w:divBdr>
            <w:top w:val="none" w:sz="0" w:space="0" w:color="auto"/>
            <w:left w:val="none" w:sz="0" w:space="0" w:color="auto"/>
            <w:bottom w:val="none" w:sz="0" w:space="0" w:color="auto"/>
            <w:right w:val="none" w:sz="0" w:space="0" w:color="auto"/>
          </w:divBdr>
        </w:div>
        <w:div w:id="511800719">
          <w:marLeft w:val="0"/>
          <w:marRight w:val="0"/>
          <w:marTop w:val="0"/>
          <w:marBottom w:val="0"/>
          <w:divBdr>
            <w:top w:val="none" w:sz="0" w:space="0" w:color="auto"/>
            <w:left w:val="none" w:sz="0" w:space="0" w:color="auto"/>
            <w:bottom w:val="none" w:sz="0" w:space="0" w:color="auto"/>
            <w:right w:val="none" w:sz="0" w:space="0" w:color="auto"/>
          </w:divBdr>
        </w:div>
        <w:div w:id="511800736">
          <w:marLeft w:val="0"/>
          <w:marRight w:val="0"/>
          <w:marTop w:val="0"/>
          <w:marBottom w:val="0"/>
          <w:divBdr>
            <w:top w:val="none" w:sz="0" w:space="0" w:color="auto"/>
            <w:left w:val="none" w:sz="0" w:space="0" w:color="auto"/>
            <w:bottom w:val="none" w:sz="0" w:space="0" w:color="auto"/>
            <w:right w:val="none" w:sz="0" w:space="0" w:color="auto"/>
          </w:divBdr>
        </w:div>
        <w:div w:id="511800756">
          <w:marLeft w:val="0"/>
          <w:marRight w:val="0"/>
          <w:marTop w:val="0"/>
          <w:marBottom w:val="0"/>
          <w:divBdr>
            <w:top w:val="none" w:sz="0" w:space="0" w:color="auto"/>
            <w:left w:val="none" w:sz="0" w:space="0" w:color="auto"/>
            <w:bottom w:val="none" w:sz="0" w:space="0" w:color="auto"/>
            <w:right w:val="none" w:sz="0" w:space="0" w:color="auto"/>
          </w:divBdr>
        </w:div>
        <w:div w:id="511800767">
          <w:marLeft w:val="0"/>
          <w:marRight w:val="0"/>
          <w:marTop w:val="0"/>
          <w:marBottom w:val="0"/>
          <w:divBdr>
            <w:top w:val="none" w:sz="0" w:space="0" w:color="auto"/>
            <w:left w:val="none" w:sz="0" w:space="0" w:color="auto"/>
            <w:bottom w:val="none" w:sz="0" w:space="0" w:color="auto"/>
            <w:right w:val="none" w:sz="0" w:space="0" w:color="auto"/>
          </w:divBdr>
        </w:div>
        <w:div w:id="511800770">
          <w:marLeft w:val="0"/>
          <w:marRight w:val="0"/>
          <w:marTop w:val="0"/>
          <w:marBottom w:val="0"/>
          <w:divBdr>
            <w:top w:val="none" w:sz="0" w:space="0" w:color="auto"/>
            <w:left w:val="none" w:sz="0" w:space="0" w:color="auto"/>
            <w:bottom w:val="none" w:sz="0" w:space="0" w:color="auto"/>
            <w:right w:val="none" w:sz="0" w:space="0" w:color="auto"/>
          </w:divBdr>
        </w:div>
        <w:div w:id="511800773">
          <w:marLeft w:val="0"/>
          <w:marRight w:val="0"/>
          <w:marTop w:val="0"/>
          <w:marBottom w:val="0"/>
          <w:divBdr>
            <w:top w:val="none" w:sz="0" w:space="0" w:color="auto"/>
            <w:left w:val="none" w:sz="0" w:space="0" w:color="auto"/>
            <w:bottom w:val="none" w:sz="0" w:space="0" w:color="auto"/>
            <w:right w:val="none" w:sz="0" w:space="0" w:color="auto"/>
          </w:divBdr>
        </w:div>
        <w:div w:id="511800787">
          <w:marLeft w:val="0"/>
          <w:marRight w:val="0"/>
          <w:marTop w:val="0"/>
          <w:marBottom w:val="0"/>
          <w:divBdr>
            <w:top w:val="none" w:sz="0" w:space="0" w:color="auto"/>
            <w:left w:val="none" w:sz="0" w:space="0" w:color="auto"/>
            <w:bottom w:val="none" w:sz="0" w:space="0" w:color="auto"/>
            <w:right w:val="none" w:sz="0" w:space="0" w:color="auto"/>
          </w:divBdr>
        </w:div>
        <w:div w:id="511800797">
          <w:marLeft w:val="0"/>
          <w:marRight w:val="0"/>
          <w:marTop w:val="0"/>
          <w:marBottom w:val="0"/>
          <w:divBdr>
            <w:top w:val="none" w:sz="0" w:space="0" w:color="auto"/>
            <w:left w:val="none" w:sz="0" w:space="0" w:color="auto"/>
            <w:bottom w:val="none" w:sz="0" w:space="0" w:color="auto"/>
            <w:right w:val="none" w:sz="0" w:space="0" w:color="auto"/>
          </w:divBdr>
        </w:div>
        <w:div w:id="511800808">
          <w:marLeft w:val="0"/>
          <w:marRight w:val="0"/>
          <w:marTop w:val="0"/>
          <w:marBottom w:val="0"/>
          <w:divBdr>
            <w:top w:val="none" w:sz="0" w:space="0" w:color="auto"/>
            <w:left w:val="none" w:sz="0" w:space="0" w:color="auto"/>
            <w:bottom w:val="none" w:sz="0" w:space="0" w:color="auto"/>
            <w:right w:val="none" w:sz="0" w:space="0" w:color="auto"/>
          </w:divBdr>
        </w:div>
        <w:div w:id="511800841">
          <w:marLeft w:val="0"/>
          <w:marRight w:val="0"/>
          <w:marTop w:val="0"/>
          <w:marBottom w:val="0"/>
          <w:divBdr>
            <w:top w:val="none" w:sz="0" w:space="0" w:color="auto"/>
            <w:left w:val="none" w:sz="0" w:space="0" w:color="auto"/>
            <w:bottom w:val="none" w:sz="0" w:space="0" w:color="auto"/>
            <w:right w:val="none" w:sz="0" w:space="0" w:color="auto"/>
          </w:divBdr>
        </w:div>
      </w:divsChild>
    </w:div>
    <w:div w:id="511800789">
      <w:marLeft w:val="0"/>
      <w:marRight w:val="0"/>
      <w:marTop w:val="0"/>
      <w:marBottom w:val="0"/>
      <w:divBdr>
        <w:top w:val="none" w:sz="0" w:space="0" w:color="auto"/>
        <w:left w:val="none" w:sz="0" w:space="0" w:color="auto"/>
        <w:bottom w:val="none" w:sz="0" w:space="0" w:color="auto"/>
        <w:right w:val="none" w:sz="0" w:space="0" w:color="auto"/>
      </w:divBdr>
      <w:divsChild>
        <w:div w:id="511800637">
          <w:marLeft w:val="0"/>
          <w:marRight w:val="0"/>
          <w:marTop w:val="0"/>
          <w:marBottom w:val="0"/>
          <w:divBdr>
            <w:top w:val="none" w:sz="0" w:space="0" w:color="auto"/>
            <w:left w:val="none" w:sz="0" w:space="0" w:color="auto"/>
            <w:bottom w:val="none" w:sz="0" w:space="0" w:color="auto"/>
            <w:right w:val="none" w:sz="0" w:space="0" w:color="auto"/>
          </w:divBdr>
        </w:div>
        <w:div w:id="511800646">
          <w:marLeft w:val="0"/>
          <w:marRight w:val="0"/>
          <w:marTop w:val="0"/>
          <w:marBottom w:val="0"/>
          <w:divBdr>
            <w:top w:val="none" w:sz="0" w:space="0" w:color="auto"/>
            <w:left w:val="none" w:sz="0" w:space="0" w:color="auto"/>
            <w:bottom w:val="none" w:sz="0" w:space="0" w:color="auto"/>
            <w:right w:val="none" w:sz="0" w:space="0" w:color="auto"/>
          </w:divBdr>
        </w:div>
        <w:div w:id="511800657">
          <w:marLeft w:val="0"/>
          <w:marRight w:val="0"/>
          <w:marTop w:val="0"/>
          <w:marBottom w:val="0"/>
          <w:divBdr>
            <w:top w:val="none" w:sz="0" w:space="0" w:color="auto"/>
            <w:left w:val="none" w:sz="0" w:space="0" w:color="auto"/>
            <w:bottom w:val="none" w:sz="0" w:space="0" w:color="auto"/>
            <w:right w:val="none" w:sz="0" w:space="0" w:color="auto"/>
          </w:divBdr>
        </w:div>
        <w:div w:id="511800690">
          <w:marLeft w:val="0"/>
          <w:marRight w:val="0"/>
          <w:marTop w:val="0"/>
          <w:marBottom w:val="0"/>
          <w:divBdr>
            <w:top w:val="none" w:sz="0" w:space="0" w:color="auto"/>
            <w:left w:val="none" w:sz="0" w:space="0" w:color="auto"/>
            <w:bottom w:val="none" w:sz="0" w:space="0" w:color="auto"/>
            <w:right w:val="none" w:sz="0" w:space="0" w:color="auto"/>
          </w:divBdr>
        </w:div>
        <w:div w:id="511800715">
          <w:marLeft w:val="0"/>
          <w:marRight w:val="0"/>
          <w:marTop w:val="0"/>
          <w:marBottom w:val="0"/>
          <w:divBdr>
            <w:top w:val="none" w:sz="0" w:space="0" w:color="auto"/>
            <w:left w:val="none" w:sz="0" w:space="0" w:color="auto"/>
            <w:bottom w:val="none" w:sz="0" w:space="0" w:color="auto"/>
            <w:right w:val="none" w:sz="0" w:space="0" w:color="auto"/>
          </w:divBdr>
        </w:div>
        <w:div w:id="511800741">
          <w:marLeft w:val="0"/>
          <w:marRight w:val="0"/>
          <w:marTop w:val="0"/>
          <w:marBottom w:val="0"/>
          <w:divBdr>
            <w:top w:val="none" w:sz="0" w:space="0" w:color="auto"/>
            <w:left w:val="none" w:sz="0" w:space="0" w:color="auto"/>
            <w:bottom w:val="none" w:sz="0" w:space="0" w:color="auto"/>
            <w:right w:val="none" w:sz="0" w:space="0" w:color="auto"/>
          </w:divBdr>
        </w:div>
        <w:div w:id="511800759">
          <w:marLeft w:val="0"/>
          <w:marRight w:val="0"/>
          <w:marTop w:val="0"/>
          <w:marBottom w:val="0"/>
          <w:divBdr>
            <w:top w:val="none" w:sz="0" w:space="0" w:color="auto"/>
            <w:left w:val="none" w:sz="0" w:space="0" w:color="auto"/>
            <w:bottom w:val="none" w:sz="0" w:space="0" w:color="auto"/>
            <w:right w:val="none" w:sz="0" w:space="0" w:color="auto"/>
          </w:divBdr>
        </w:div>
        <w:div w:id="511800760">
          <w:marLeft w:val="0"/>
          <w:marRight w:val="0"/>
          <w:marTop w:val="0"/>
          <w:marBottom w:val="0"/>
          <w:divBdr>
            <w:top w:val="none" w:sz="0" w:space="0" w:color="auto"/>
            <w:left w:val="none" w:sz="0" w:space="0" w:color="auto"/>
            <w:bottom w:val="none" w:sz="0" w:space="0" w:color="auto"/>
            <w:right w:val="none" w:sz="0" w:space="0" w:color="auto"/>
          </w:divBdr>
        </w:div>
      </w:divsChild>
    </w:div>
    <w:div w:id="511800791">
      <w:marLeft w:val="0"/>
      <w:marRight w:val="0"/>
      <w:marTop w:val="0"/>
      <w:marBottom w:val="0"/>
      <w:divBdr>
        <w:top w:val="none" w:sz="0" w:space="0" w:color="auto"/>
        <w:left w:val="none" w:sz="0" w:space="0" w:color="auto"/>
        <w:bottom w:val="none" w:sz="0" w:space="0" w:color="auto"/>
        <w:right w:val="none" w:sz="0" w:space="0" w:color="auto"/>
      </w:divBdr>
      <w:divsChild>
        <w:div w:id="511800653">
          <w:marLeft w:val="0"/>
          <w:marRight w:val="0"/>
          <w:marTop w:val="0"/>
          <w:marBottom w:val="0"/>
          <w:divBdr>
            <w:top w:val="none" w:sz="0" w:space="0" w:color="auto"/>
            <w:left w:val="none" w:sz="0" w:space="0" w:color="auto"/>
            <w:bottom w:val="none" w:sz="0" w:space="0" w:color="auto"/>
            <w:right w:val="none" w:sz="0" w:space="0" w:color="auto"/>
          </w:divBdr>
        </w:div>
        <w:div w:id="511800674">
          <w:marLeft w:val="0"/>
          <w:marRight w:val="0"/>
          <w:marTop w:val="0"/>
          <w:marBottom w:val="0"/>
          <w:divBdr>
            <w:top w:val="none" w:sz="0" w:space="0" w:color="auto"/>
            <w:left w:val="none" w:sz="0" w:space="0" w:color="auto"/>
            <w:bottom w:val="none" w:sz="0" w:space="0" w:color="auto"/>
            <w:right w:val="none" w:sz="0" w:space="0" w:color="auto"/>
          </w:divBdr>
        </w:div>
        <w:div w:id="511800679">
          <w:marLeft w:val="0"/>
          <w:marRight w:val="0"/>
          <w:marTop w:val="0"/>
          <w:marBottom w:val="0"/>
          <w:divBdr>
            <w:top w:val="none" w:sz="0" w:space="0" w:color="auto"/>
            <w:left w:val="none" w:sz="0" w:space="0" w:color="auto"/>
            <w:bottom w:val="none" w:sz="0" w:space="0" w:color="auto"/>
            <w:right w:val="none" w:sz="0" w:space="0" w:color="auto"/>
          </w:divBdr>
        </w:div>
        <w:div w:id="511800694">
          <w:marLeft w:val="0"/>
          <w:marRight w:val="0"/>
          <w:marTop w:val="0"/>
          <w:marBottom w:val="0"/>
          <w:divBdr>
            <w:top w:val="none" w:sz="0" w:space="0" w:color="auto"/>
            <w:left w:val="none" w:sz="0" w:space="0" w:color="auto"/>
            <w:bottom w:val="none" w:sz="0" w:space="0" w:color="auto"/>
            <w:right w:val="none" w:sz="0" w:space="0" w:color="auto"/>
          </w:divBdr>
        </w:div>
        <w:div w:id="511800699">
          <w:marLeft w:val="0"/>
          <w:marRight w:val="0"/>
          <w:marTop w:val="0"/>
          <w:marBottom w:val="0"/>
          <w:divBdr>
            <w:top w:val="none" w:sz="0" w:space="0" w:color="auto"/>
            <w:left w:val="none" w:sz="0" w:space="0" w:color="auto"/>
            <w:bottom w:val="none" w:sz="0" w:space="0" w:color="auto"/>
            <w:right w:val="none" w:sz="0" w:space="0" w:color="auto"/>
          </w:divBdr>
        </w:div>
        <w:div w:id="511800806">
          <w:marLeft w:val="0"/>
          <w:marRight w:val="0"/>
          <w:marTop w:val="0"/>
          <w:marBottom w:val="0"/>
          <w:divBdr>
            <w:top w:val="none" w:sz="0" w:space="0" w:color="auto"/>
            <w:left w:val="none" w:sz="0" w:space="0" w:color="auto"/>
            <w:bottom w:val="none" w:sz="0" w:space="0" w:color="auto"/>
            <w:right w:val="none" w:sz="0" w:space="0" w:color="auto"/>
          </w:divBdr>
        </w:div>
        <w:div w:id="511800833">
          <w:marLeft w:val="0"/>
          <w:marRight w:val="0"/>
          <w:marTop w:val="0"/>
          <w:marBottom w:val="0"/>
          <w:divBdr>
            <w:top w:val="none" w:sz="0" w:space="0" w:color="auto"/>
            <w:left w:val="none" w:sz="0" w:space="0" w:color="auto"/>
            <w:bottom w:val="none" w:sz="0" w:space="0" w:color="auto"/>
            <w:right w:val="none" w:sz="0" w:space="0" w:color="auto"/>
          </w:divBdr>
        </w:div>
      </w:divsChild>
    </w:div>
    <w:div w:id="511800793">
      <w:marLeft w:val="0"/>
      <w:marRight w:val="0"/>
      <w:marTop w:val="0"/>
      <w:marBottom w:val="0"/>
      <w:divBdr>
        <w:top w:val="none" w:sz="0" w:space="0" w:color="auto"/>
        <w:left w:val="none" w:sz="0" w:space="0" w:color="auto"/>
        <w:bottom w:val="none" w:sz="0" w:space="0" w:color="auto"/>
        <w:right w:val="none" w:sz="0" w:space="0" w:color="auto"/>
      </w:divBdr>
      <w:divsChild>
        <w:div w:id="511800745">
          <w:marLeft w:val="0"/>
          <w:marRight w:val="0"/>
          <w:marTop w:val="0"/>
          <w:marBottom w:val="0"/>
          <w:divBdr>
            <w:top w:val="none" w:sz="0" w:space="0" w:color="auto"/>
            <w:left w:val="none" w:sz="0" w:space="0" w:color="auto"/>
            <w:bottom w:val="none" w:sz="0" w:space="0" w:color="auto"/>
            <w:right w:val="none" w:sz="0" w:space="0" w:color="auto"/>
          </w:divBdr>
        </w:div>
        <w:div w:id="511800790">
          <w:marLeft w:val="0"/>
          <w:marRight w:val="0"/>
          <w:marTop w:val="0"/>
          <w:marBottom w:val="0"/>
          <w:divBdr>
            <w:top w:val="none" w:sz="0" w:space="0" w:color="auto"/>
            <w:left w:val="none" w:sz="0" w:space="0" w:color="auto"/>
            <w:bottom w:val="none" w:sz="0" w:space="0" w:color="auto"/>
            <w:right w:val="none" w:sz="0" w:space="0" w:color="auto"/>
          </w:divBdr>
        </w:div>
      </w:divsChild>
    </w:div>
    <w:div w:id="511800801">
      <w:marLeft w:val="0"/>
      <w:marRight w:val="0"/>
      <w:marTop w:val="0"/>
      <w:marBottom w:val="0"/>
      <w:divBdr>
        <w:top w:val="none" w:sz="0" w:space="0" w:color="auto"/>
        <w:left w:val="none" w:sz="0" w:space="0" w:color="auto"/>
        <w:bottom w:val="none" w:sz="0" w:space="0" w:color="auto"/>
        <w:right w:val="none" w:sz="0" w:space="0" w:color="auto"/>
      </w:divBdr>
      <w:divsChild>
        <w:div w:id="511800651">
          <w:marLeft w:val="0"/>
          <w:marRight w:val="0"/>
          <w:marTop w:val="0"/>
          <w:marBottom w:val="0"/>
          <w:divBdr>
            <w:top w:val="none" w:sz="0" w:space="0" w:color="auto"/>
            <w:left w:val="none" w:sz="0" w:space="0" w:color="auto"/>
            <w:bottom w:val="none" w:sz="0" w:space="0" w:color="auto"/>
            <w:right w:val="none" w:sz="0" w:space="0" w:color="auto"/>
          </w:divBdr>
        </w:div>
        <w:div w:id="511800652">
          <w:marLeft w:val="0"/>
          <w:marRight w:val="0"/>
          <w:marTop w:val="0"/>
          <w:marBottom w:val="0"/>
          <w:divBdr>
            <w:top w:val="none" w:sz="0" w:space="0" w:color="auto"/>
            <w:left w:val="none" w:sz="0" w:space="0" w:color="auto"/>
            <w:bottom w:val="none" w:sz="0" w:space="0" w:color="auto"/>
            <w:right w:val="none" w:sz="0" w:space="0" w:color="auto"/>
          </w:divBdr>
        </w:div>
        <w:div w:id="511800693">
          <w:marLeft w:val="0"/>
          <w:marRight w:val="0"/>
          <w:marTop w:val="0"/>
          <w:marBottom w:val="0"/>
          <w:divBdr>
            <w:top w:val="none" w:sz="0" w:space="0" w:color="auto"/>
            <w:left w:val="none" w:sz="0" w:space="0" w:color="auto"/>
            <w:bottom w:val="none" w:sz="0" w:space="0" w:color="auto"/>
            <w:right w:val="none" w:sz="0" w:space="0" w:color="auto"/>
          </w:divBdr>
        </w:div>
        <w:div w:id="511800706">
          <w:marLeft w:val="0"/>
          <w:marRight w:val="0"/>
          <w:marTop w:val="0"/>
          <w:marBottom w:val="0"/>
          <w:divBdr>
            <w:top w:val="none" w:sz="0" w:space="0" w:color="auto"/>
            <w:left w:val="none" w:sz="0" w:space="0" w:color="auto"/>
            <w:bottom w:val="none" w:sz="0" w:space="0" w:color="auto"/>
            <w:right w:val="none" w:sz="0" w:space="0" w:color="auto"/>
          </w:divBdr>
        </w:div>
        <w:div w:id="511800716">
          <w:marLeft w:val="0"/>
          <w:marRight w:val="0"/>
          <w:marTop w:val="0"/>
          <w:marBottom w:val="0"/>
          <w:divBdr>
            <w:top w:val="none" w:sz="0" w:space="0" w:color="auto"/>
            <w:left w:val="none" w:sz="0" w:space="0" w:color="auto"/>
            <w:bottom w:val="none" w:sz="0" w:space="0" w:color="auto"/>
            <w:right w:val="none" w:sz="0" w:space="0" w:color="auto"/>
          </w:divBdr>
        </w:div>
        <w:div w:id="511800827">
          <w:marLeft w:val="0"/>
          <w:marRight w:val="0"/>
          <w:marTop w:val="0"/>
          <w:marBottom w:val="0"/>
          <w:divBdr>
            <w:top w:val="none" w:sz="0" w:space="0" w:color="auto"/>
            <w:left w:val="none" w:sz="0" w:space="0" w:color="auto"/>
            <w:bottom w:val="none" w:sz="0" w:space="0" w:color="auto"/>
            <w:right w:val="none" w:sz="0" w:space="0" w:color="auto"/>
          </w:divBdr>
        </w:div>
      </w:divsChild>
    </w:div>
    <w:div w:id="511800811">
      <w:marLeft w:val="0"/>
      <w:marRight w:val="0"/>
      <w:marTop w:val="0"/>
      <w:marBottom w:val="0"/>
      <w:divBdr>
        <w:top w:val="none" w:sz="0" w:space="0" w:color="auto"/>
        <w:left w:val="none" w:sz="0" w:space="0" w:color="auto"/>
        <w:bottom w:val="none" w:sz="0" w:space="0" w:color="auto"/>
        <w:right w:val="none" w:sz="0" w:space="0" w:color="auto"/>
      </w:divBdr>
    </w:div>
    <w:div w:id="511800812">
      <w:marLeft w:val="0"/>
      <w:marRight w:val="0"/>
      <w:marTop w:val="0"/>
      <w:marBottom w:val="0"/>
      <w:divBdr>
        <w:top w:val="none" w:sz="0" w:space="0" w:color="auto"/>
        <w:left w:val="none" w:sz="0" w:space="0" w:color="auto"/>
        <w:bottom w:val="none" w:sz="0" w:space="0" w:color="auto"/>
        <w:right w:val="none" w:sz="0" w:space="0" w:color="auto"/>
      </w:divBdr>
    </w:div>
    <w:div w:id="511800822">
      <w:marLeft w:val="0"/>
      <w:marRight w:val="0"/>
      <w:marTop w:val="0"/>
      <w:marBottom w:val="0"/>
      <w:divBdr>
        <w:top w:val="none" w:sz="0" w:space="0" w:color="auto"/>
        <w:left w:val="none" w:sz="0" w:space="0" w:color="auto"/>
        <w:bottom w:val="none" w:sz="0" w:space="0" w:color="auto"/>
        <w:right w:val="none" w:sz="0" w:space="0" w:color="auto"/>
      </w:divBdr>
      <w:divsChild>
        <w:div w:id="511800641">
          <w:marLeft w:val="0"/>
          <w:marRight w:val="0"/>
          <w:marTop w:val="0"/>
          <w:marBottom w:val="0"/>
          <w:divBdr>
            <w:top w:val="none" w:sz="0" w:space="0" w:color="auto"/>
            <w:left w:val="none" w:sz="0" w:space="0" w:color="auto"/>
            <w:bottom w:val="none" w:sz="0" w:space="0" w:color="auto"/>
            <w:right w:val="none" w:sz="0" w:space="0" w:color="auto"/>
          </w:divBdr>
        </w:div>
        <w:div w:id="511800819">
          <w:marLeft w:val="0"/>
          <w:marRight w:val="0"/>
          <w:marTop w:val="0"/>
          <w:marBottom w:val="0"/>
          <w:divBdr>
            <w:top w:val="none" w:sz="0" w:space="0" w:color="auto"/>
            <w:left w:val="none" w:sz="0" w:space="0" w:color="auto"/>
            <w:bottom w:val="none" w:sz="0" w:space="0" w:color="auto"/>
            <w:right w:val="none" w:sz="0" w:space="0" w:color="auto"/>
          </w:divBdr>
        </w:div>
      </w:divsChild>
    </w:div>
    <w:div w:id="511800829">
      <w:marLeft w:val="0"/>
      <w:marRight w:val="0"/>
      <w:marTop w:val="0"/>
      <w:marBottom w:val="0"/>
      <w:divBdr>
        <w:top w:val="none" w:sz="0" w:space="0" w:color="auto"/>
        <w:left w:val="none" w:sz="0" w:space="0" w:color="auto"/>
        <w:bottom w:val="none" w:sz="0" w:space="0" w:color="auto"/>
        <w:right w:val="none" w:sz="0" w:space="0" w:color="auto"/>
      </w:divBdr>
    </w:div>
    <w:div w:id="511800830">
      <w:marLeft w:val="0"/>
      <w:marRight w:val="0"/>
      <w:marTop w:val="0"/>
      <w:marBottom w:val="0"/>
      <w:divBdr>
        <w:top w:val="none" w:sz="0" w:space="0" w:color="auto"/>
        <w:left w:val="none" w:sz="0" w:space="0" w:color="auto"/>
        <w:bottom w:val="none" w:sz="0" w:space="0" w:color="auto"/>
        <w:right w:val="none" w:sz="0" w:space="0" w:color="auto"/>
      </w:divBdr>
    </w:div>
    <w:div w:id="511800836">
      <w:marLeft w:val="0"/>
      <w:marRight w:val="0"/>
      <w:marTop w:val="0"/>
      <w:marBottom w:val="0"/>
      <w:divBdr>
        <w:top w:val="none" w:sz="0" w:space="0" w:color="auto"/>
        <w:left w:val="none" w:sz="0" w:space="0" w:color="auto"/>
        <w:bottom w:val="none" w:sz="0" w:space="0" w:color="auto"/>
        <w:right w:val="none" w:sz="0" w:space="0" w:color="auto"/>
      </w:divBdr>
      <w:divsChild>
        <w:div w:id="511800673">
          <w:marLeft w:val="0"/>
          <w:marRight w:val="0"/>
          <w:marTop w:val="0"/>
          <w:marBottom w:val="0"/>
          <w:divBdr>
            <w:top w:val="none" w:sz="0" w:space="0" w:color="auto"/>
            <w:left w:val="none" w:sz="0" w:space="0" w:color="auto"/>
            <w:bottom w:val="none" w:sz="0" w:space="0" w:color="auto"/>
            <w:right w:val="none" w:sz="0" w:space="0" w:color="auto"/>
          </w:divBdr>
        </w:div>
        <w:div w:id="511800681">
          <w:marLeft w:val="0"/>
          <w:marRight w:val="0"/>
          <w:marTop w:val="0"/>
          <w:marBottom w:val="0"/>
          <w:divBdr>
            <w:top w:val="none" w:sz="0" w:space="0" w:color="auto"/>
            <w:left w:val="none" w:sz="0" w:space="0" w:color="auto"/>
            <w:bottom w:val="none" w:sz="0" w:space="0" w:color="auto"/>
            <w:right w:val="none" w:sz="0" w:space="0" w:color="auto"/>
          </w:divBdr>
        </w:div>
        <w:div w:id="511800688">
          <w:marLeft w:val="0"/>
          <w:marRight w:val="0"/>
          <w:marTop w:val="0"/>
          <w:marBottom w:val="0"/>
          <w:divBdr>
            <w:top w:val="none" w:sz="0" w:space="0" w:color="auto"/>
            <w:left w:val="none" w:sz="0" w:space="0" w:color="auto"/>
            <w:bottom w:val="none" w:sz="0" w:space="0" w:color="auto"/>
            <w:right w:val="none" w:sz="0" w:space="0" w:color="auto"/>
          </w:divBdr>
        </w:div>
        <w:div w:id="511800724">
          <w:marLeft w:val="0"/>
          <w:marRight w:val="0"/>
          <w:marTop w:val="0"/>
          <w:marBottom w:val="0"/>
          <w:divBdr>
            <w:top w:val="none" w:sz="0" w:space="0" w:color="auto"/>
            <w:left w:val="none" w:sz="0" w:space="0" w:color="auto"/>
            <w:bottom w:val="none" w:sz="0" w:space="0" w:color="auto"/>
            <w:right w:val="none" w:sz="0" w:space="0" w:color="auto"/>
          </w:divBdr>
        </w:div>
        <w:div w:id="511800750">
          <w:marLeft w:val="0"/>
          <w:marRight w:val="0"/>
          <w:marTop w:val="0"/>
          <w:marBottom w:val="0"/>
          <w:divBdr>
            <w:top w:val="none" w:sz="0" w:space="0" w:color="auto"/>
            <w:left w:val="none" w:sz="0" w:space="0" w:color="auto"/>
            <w:bottom w:val="none" w:sz="0" w:space="0" w:color="auto"/>
            <w:right w:val="none" w:sz="0" w:space="0" w:color="auto"/>
          </w:divBdr>
        </w:div>
        <w:div w:id="511800751">
          <w:marLeft w:val="0"/>
          <w:marRight w:val="0"/>
          <w:marTop w:val="0"/>
          <w:marBottom w:val="0"/>
          <w:divBdr>
            <w:top w:val="none" w:sz="0" w:space="0" w:color="auto"/>
            <w:left w:val="none" w:sz="0" w:space="0" w:color="auto"/>
            <w:bottom w:val="none" w:sz="0" w:space="0" w:color="auto"/>
            <w:right w:val="none" w:sz="0" w:space="0" w:color="auto"/>
          </w:divBdr>
        </w:div>
        <w:div w:id="511800752">
          <w:marLeft w:val="0"/>
          <w:marRight w:val="0"/>
          <w:marTop w:val="0"/>
          <w:marBottom w:val="0"/>
          <w:divBdr>
            <w:top w:val="none" w:sz="0" w:space="0" w:color="auto"/>
            <w:left w:val="none" w:sz="0" w:space="0" w:color="auto"/>
            <w:bottom w:val="none" w:sz="0" w:space="0" w:color="auto"/>
            <w:right w:val="none" w:sz="0" w:space="0" w:color="auto"/>
          </w:divBdr>
        </w:div>
        <w:div w:id="511800778">
          <w:marLeft w:val="0"/>
          <w:marRight w:val="0"/>
          <w:marTop w:val="0"/>
          <w:marBottom w:val="0"/>
          <w:divBdr>
            <w:top w:val="none" w:sz="0" w:space="0" w:color="auto"/>
            <w:left w:val="none" w:sz="0" w:space="0" w:color="auto"/>
            <w:bottom w:val="none" w:sz="0" w:space="0" w:color="auto"/>
            <w:right w:val="none" w:sz="0" w:space="0" w:color="auto"/>
          </w:divBdr>
        </w:div>
        <w:div w:id="511800783">
          <w:marLeft w:val="0"/>
          <w:marRight w:val="0"/>
          <w:marTop w:val="0"/>
          <w:marBottom w:val="0"/>
          <w:divBdr>
            <w:top w:val="none" w:sz="0" w:space="0" w:color="auto"/>
            <w:left w:val="none" w:sz="0" w:space="0" w:color="auto"/>
            <w:bottom w:val="none" w:sz="0" w:space="0" w:color="auto"/>
            <w:right w:val="none" w:sz="0" w:space="0" w:color="auto"/>
          </w:divBdr>
        </w:div>
        <w:div w:id="511800795">
          <w:marLeft w:val="0"/>
          <w:marRight w:val="0"/>
          <w:marTop w:val="0"/>
          <w:marBottom w:val="0"/>
          <w:divBdr>
            <w:top w:val="none" w:sz="0" w:space="0" w:color="auto"/>
            <w:left w:val="none" w:sz="0" w:space="0" w:color="auto"/>
            <w:bottom w:val="none" w:sz="0" w:space="0" w:color="auto"/>
            <w:right w:val="none" w:sz="0" w:space="0" w:color="auto"/>
          </w:divBdr>
        </w:div>
      </w:divsChild>
    </w:div>
    <w:div w:id="511800840">
      <w:marLeft w:val="0"/>
      <w:marRight w:val="0"/>
      <w:marTop w:val="0"/>
      <w:marBottom w:val="0"/>
      <w:divBdr>
        <w:top w:val="none" w:sz="0" w:space="0" w:color="auto"/>
        <w:left w:val="none" w:sz="0" w:space="0" w:color="auto"/>
        <w:bottom w:val="none" w:sz="0" w:space="0" w:color="auto"/>
        <w:right w:val="none" w:sz="0" w:space="0" w:color="auto"/>
      </w:divBdr>
      <w:divsChild>
        <w:div w:id="511800658">
          <w:marLeft w:val="0"/>
          <w:marRight w:val="0"/>
          <w:marTop w:val="0"/>
          <w:marBottom w:val="0"/>
          <w:divBdr>
            <w:top w:val="none" w:sz="0" w:space="0" w:color="auto"/>
            <w:left w:val="none" w:sz="0" w:space="0" w:color="auto"/>
            <w:bottom w:val="none" w:sz="0" w:space="0" w:color="auto"/>
            <w:right w:val="none" w:sz="0" w:space="0" w:color="auto"/>
          </w:divBdr>
        </w:div>
        <w:div w:id="511800676">
          <w:marLeft w:val="0"/>
          <w:marRight w:val="0"/>
          <w:marTop w:val="0"/>
          <w:marBottom w:val="0"/>
          <w:divBdr>
            <w:top w:val="none" w:sz="0" w:space="0" w:color="auto"/>
            <w:left w:val="none" w:sz="0" w:space="0" w:color="auto"/>
            <w:bottom w:val="none" w:sz="0" w:space="0" w:color="auto"/>
            <w:right w:val="none" w:sz="0" w:space="0" w:color="auto"/>
          </w:divBdr>
        </w:div>
        <w:div w:id="511800678">
          <w:marLeft w:val="0"/>
          <w:marRight w:val="0"/>
          <w:marTop w:val="0"/>
          <w:marBottom w:val="0"/>
          <w:divBdr>
            <w:top w:val="none" w:sz="0" w:space="0" w:color="auto"/>
            <w:left w:val="none" w:sz="0" w:space="0" w:color="auto"/>
            <w:bottom w:val="none" w:sz="0" w:space="0" w:color="auto"/>
            <w:right w:val="none" w:sz="0" w:space="0" w:color="auto"/>
          </w:divBdr>
        </w:div>
        <w:div w:id="511800732">
          <w:marLeft w:val="0"/>
          <w:marRight w:val="0"/>
          <w:marTop w:val="0"/>
          <w:marBottom w:val="0"/>
          <w:divBdr>
            <w:top w:val="none" w:sz="0" w:space="0" w:color="auto"/>
            <w:left w:val="none" w:sz="0" w:space="0" w:color="auto"/>
            <w:bottom w:val="none" w:sz="0" w:space="0" w:color="auto"/>
            <w:right w:val="none" w:sz="0" w:space="0" w:color="auto"/>
          </w:divBdr>
        </w:div>
        <w:div w:id="511800768">
          <w:marLeft w:val="0"/>
          <w:marRight w:val="0"/>
          <w:marTop w:val="0"/>
          <w:marBottom w:val="0"/>
          <w:divBdr>
            <w:top w:val="none" w:sz="0" w:space="0" w:color="auto"/>
            <w:left w:val="none" w:sz="0" w:space="0" w:color="auto"/>
            <w:bottom w:val="none" w:sz="0" w:space="0" w:color="auto"/>
            <w:right w:val="none" w:sz="0" w:space="0" w:color="auto"/>
          </w:divBdr>
        </w:div>
        <w:div w:id="511800769">
          <w:marLeft w:val="0"/>
          <w:marRight w:val="0"/>
          <w:marTop w:val="0"/>
          <w:marBottom w:val="0"/>
          <w:divBdr>
            <w:top w:val="none" w:sz="0" w:space="0" w:color="auto"/>
            <w:left w:val="none" w:sz="0" w:space="0" w:color="auto"/>
            <w:bottom w:val="none" w:sz="0" w:space="0" w:color="auto"/>
            <w:right w:val="none" w:sz="0" w:space="0" w:color="auto"/>
          </w:divBdr>
        </w:div>
        <w:div w:id="511800802">
          <w:marLeft w:val="0"/>
          <w:marRight w:val="0"/>
          <w:marTop w:val="0"/>
          <w:marBottom w:val="0"/>
          <w:divBdr>
            <w:top w:val="none" w:sz="0" w:space="0" w:color="auto"/>
            <w:left w:val="none" w:sz="0" w:space="0" w:color="auto"/>
            <w:bottom w:val="none" w:sz="0" w:space="0" w:color="auto"/>
            <w:right w:val="none" w:sz="0" w:space="0" w:color="auto"/>
          </w:divBdr>
        </w:div>
        <w:div w:id="511800804">
          <w:marLeft w:val="0"/>
          <w:marRight w:val="0"/>
          <w:marTop w:val="0"/>
          <w:marBottom w:val="0"/>
          <w:divBdr>
            <w:top w:val="none" w:sz="0" w:space="0" w:color="auto"/>
            <w:left w:val="none" w:sz="0" w:space="0" w:color="auto"/>
            <w:bottom w:val="none" w:sz="0" w:space="0" w:color="auto"/>
            <w:right w:val="none" w:sz="0" w:space="0" w:color="auto"/>
          </w:divBdr>
        </w:div>
        <w:div w:id="511800813">
          <w:marLeft w:val="0"/>
          <w:marRight w:val="0"/>
          <w:marTop w:val="0"/>
          <w:marBottom w:val="0"/>
          <w:divBdr>
            <w:top w:val="none" w:sz="0" w:space="0" w:color="auto"/>
            <w:left w:val="none" w:sz="0" w:space="0" w:color="auto"/>
            <w:bottom w:val="none" w:sz="0" w:space="0" w:color="auto"/>
            <w:right w:val="none" w:sz="0" w:space="0" w:color="auto"/>
          </w:divBdr>
        </w:div>
        <w:div w:id="511800842">
          <w:marLeft w:val="0"/>
          <w:marRight w:val="0"/>
          <w:marTop w:val="0"/>
          <w:marBottom w:val="0"/>
          <w:divBdr>
            <w:top w:val="none" w:sz="0" w:space="0" w:color="auto"/>
            <w:left w:val="none" w:sz="0" w:space="0" w:color="auto"/>
            <w:bottom w:val="none" w:sz="0" w:space="0" w:color="auto"/>
            <w:right w:val="none" w:sz="0" w:space="0" w:color="auto"/>
          </w:divBdr>
        </w:div>
      </w:divsChild>
    </w:div>
    <w:div w:id="511800843">
      <w:marLeft w:val="0"/>
      <w:marRight w:val="0"/>
      <w:marTop w:val="0"/>
      <w:marBottom w:val="0"/>
      <w:divBdr>
        <w:top w:val="none" w:sz="0" w:space="0" w:color="auto"/>
        <w:left w:val="none" w:sz="0" w:space="0" w:color="auto"/>
        <w:bottom w:val="none" w:sz="0" w:space="0" w:color="auto"/>
        <w:right w:val="none" w:sz="0" w:space="0" w:color="auto"/>
      </w:divBdr>
    </w:div>
    <w:div w:id="511800849">
      <w:marLeft w:val="0"/>
      <w:marRight w:val="0"/>
      <w:marTop w:val="0"/>
      <w:marBottom w:val="0"/>
      <w:divBdr>
        <w:top w:val="none" w:sz="0" w:space="0" w:color="auto"/>
        <w:left w:val="none" w:sz="0" w:space="0" w:color="auto"/>
        <w:bottom w:val="none" w:sz="0" w:space="0" w:color="auto"/>
        <w:right w:val="none" w:sz="0" w:space="0" w:color="auto"/>
      </w:divBdr>
    </w:div>
    <w:div w:id="511800853">
      <w:marLeft w:val="0"/>
      <w:marRight w:val="0"/>
      <w:marTop w:val="0"/>
      <w:marBottom w:val="0"/>
      <w:divBdr>
        <w:top w:val="none" w:sz="0" w:space="0" w:color="auto"/>
        <w:left w:val="none" w:sz="0" w:space="0" w:color="auto"/>
        <w:bottom w:val="none" w:sz="0" w:space="0" w:color="auto"/>
        <w:right w:val="none" w:sz="0" w:space="0" w:color="auto"/>
      </w:divBdr>
      <w:divsChild>
        <w:div w:id="511800663">
          <w:marLeft w:val="0"/>
          <w:marRight w:val="0"/>
          <w:marTop w:val="0"/>
          <w:marBottom w:val="0"/>
          <w:divBdr>
            <w:top w:val="none" w:sz="0" w:space="0" w:color="auto"/>
            <w:left w:val="none" w:sz="0" w:space="0" w:color="auto"/>
            <w:bottom w:val="none" w:sz="0" w:space="0" w:color="auto"/>
            <w:right w:val="none" w:sz="0" w:space="0" w:color="auto"/>
          </w:divBdr>
        </w:div>
        <w:div w:id="511800723">
          <w:marLeft w:val="0"/>
          <w:marRight w:val="0"/>
          <w:marTop w:val="0"/>
          <w:marBottom w:val="0"/>
          <w:divBdr>
            <w:top w:val="none" w:sz="0" w:space="0" w:color="auto"/>
            <w:left w:val="none" w:sz="0" w:space="0" w:color="auto"/>
            <w:bottom w:val="none" w:sz="0" w:space="0" w:color="auto"/>
            <w:right w:val="none" w:sz="0" w:space="0" w:color="auto"/>
          </w:divBdr>
        </w:div>
        <w:div w:id="511800763">
          <w:marLeft w:val="0"/>
          <w:marRight w:val="0"/>
          <w:marTop w:val="0"/>
          <w:marBottom w:val="0"/>
          <w:divBdr>
            <w:top w:val="none" w:sz="0" w:space="0" w:color="auto"/>
            <w:left w:val="none" w:sz="0" w:space="0" w:color="auto"/>
            <w:bottom w:val="none" w:sz="0" w:space="0" w:color="auto"/>
            <w:right w:val="none" w:sz="0" w:space="0" w:color="auto"/>
          </w:divBdr>
        </w:div>
        <w:div w:id="511800809">
          <w:marLeft w:val="0"/>
          <w:marRight w:val="0"/>
          <w:marTop w:val="0"/>
          <w:marBottom w:val="0"/>
          <w:divBdr>
            <w:top w:val="none" w:sz="0" w:space="0" w:color="auto"/>
            <w:left w:val="none" w:sz="0" w:space="0" w:color="auto"/>
            <w:bottom w:val="none" w:sz="0" w:space="0" w:color="auto"/>
            <w:right w:val="none" w:sz="0" w:space="0" w:color="auto"/>
          </w:divBdr>
        </w:div>
      </w:divsChild>
    </w:div>
    <w:div w:id="511800854">
      <w:marLeft w:val="0"/>
      <w:marRight w:val="0"/>
      <w:marTop w:val="0"/>
      <w:marBottom w:val="0"/>
      <w:divBdr>
        <w:top w:val="none" w:sz="0" w:space="0" w:color="auto"/>
        <w:left w:val="none" w:sz="0" w:space="0" w:color="auto"/>
        <w:bottom w:val="none" w:sz="0" w:space="0" w:color="auto"/>
        <w:right w:val="none" w:sz="0" w:space="0" w:color="auto"/>
      </w:divBdr>
    </w:div>
    <w:div w:id="511800855">
      <w:marLeft w:val="0"/>
      <w:marRight w:val="0"/>
      <w:marTop w:val="0"/>
      <w:marBottom w:val="0"/>
      <w:divBdr>
        <w:top w:val="none" w:sz="0" w:space="0" w:color="auto"/>
        <w:left w:val="none" w:sz="0" w:space="0" w:color="auto"/>
        <w:bottom w:val="none" w:sz="0" w:space="0" w:color="auto"/>
        <w:right w:val="none" w:sz="0" w:space="0" w:color="auto"/>
      </w:divBdr>
    </w:div>
    <w:div w:id="157138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3594-7BEE-454F-81E1-135465EF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6528</TotalTime>
  <Pages>43</Pages>
  <Words>17617</Words>
  <Characters>100417</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doron</dc:creator>
  <cp:keywords/>
  <dc:description/>
  <cp:lastModifiedBy>doron.teichman</cp:lastModifiedBy>
  <cp:revision>23</cp:revision>
  <dcterms:created xsi:type="dcterms:W3CDTF">2016-02-01T12:55:00Z</dcterms:created>
  <dcterms:modified xsi:type="dcterms:W3CDTF">2016-11-01T09:07:00Z</dcterms:modified>
</cp:coreProperties>
</file>